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C63C5" w14:textId="2E835FC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BF7343">
        <w:t>#</w:t>
      </w:r>
      <w:r w:rsidR="00BF7343" w:rsidRPr="00BF7343">
        <w:t>94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E053C" w:rsidRPr="006E053C">
        <w:rPr>
          <w:sz w:val="32"/>
          <w:szCs w:val="32"/>
        </w:rPr>
        <w:t>1808988</w:t>
      </w:r>
    </w:p>
    <w:p w14:paraId="41473397" w14:textId="274CF364" w:rsidR="00E90E49" w:rsidRPr="00CE0424" w:rsidRDefault="00BF7343" w:rsidP="00357380">
      <w:pPr>
        <w:pStyle w:val="3GPPHeader"/>
      </w:pPr>
      <w:r w:rsidRPr="00F81F05">
        <w:t>Gothenburg, Sweden, August 20</w:t>
      </w:r>
      <w:r w:rsidRPr="00F81F05">
        <w:rPr>
          <w:vertAlign w:val="superscript"/>
        </w:rPr>
        <w:t>th</w:t>
      </w:r>
      <w:r w:rsidRPr="00F81F05">
        <w:t xml:space="preserve"> – 24</w:t>
      </w:r>
      <w:r w:rsidRPr="00F81F05">
        <w:rPr>
          <w:vertAlign w:val="superscript"/>
        </w:rPr>
        <w:t>th</w:t>
      </w:r>
      <w:r w:rsidRPr="00F81F05">
        <w:t xml:space="preserve"> 2018</w:t>
      </w:r>
    </w:p>
    <w:p w14:paraId="4C087019" w14:textId="77777777" w:rsidR="00F047F7" w:rsidRDefault="00F047F7" w:rsidP="00311702">
      <w:pPr>
        <w:pStyle w:val="3GPPHeader"/>
        <w:rPr>
          <w:sz w:val="22"/>
        </w:rPr>
      </w:pPr>
    </w:p>
    <w:p w14:paraId="63930151" w14:textId="0B796AF2" w:rsidR="00E90E49" w:rsidRPr="006E053C" w:rsidRDefault="00E90E49" w:rsidP="00311702">
      <w:pPr>
        <w:pStyle w:val="3GPPHeader"/>
        <w:rPr>
          <w:sz w:val="22"/>
        </w:rPr>
      </w:pPr>
      <w:r w:rsidRPr="006E053C">
        <w:rPr>
          <w:sz w:val="22"/>
        </w:rPr>
        <w:t>Agenda Item:</w:t>
      </w:r>
      <w:r w:rsidRPr="006E053C">
        <w:rPr>
          <w:sz w:val="22"/>
        </w:rPr>
        <w:tab/>
      </w:r>
      <w:r w:rsidR="00E527FA">
        <w:rPr>
          <w:sz w:val="22"/>
        </w:rPr>
        <w:t>6.1.4.5</w:t>
      </w:r>
      <w:r w:rsidR="00BF7343" w:rsidRPr="00BF7343">
        <w:rPr>
          <w:sz w:val="22"/>
        </w:rPr>
        <w:tab/>
      </w:r>
    </w:p>
    <w:p w14:paraId="19A67BF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2EF3A2E" w14:textId="273F6DD5" w:rsidR="00E90E49" w:rsidRPr="00CE0424" w:rsidRDefault="003D3C45" w:rsidP="00311702">
      <w:pPr>
        <w:pStyle w:val="3GPPHeader"/>
        <w:rPr>
          <w:sz w:val="22"/>
        </w:rPr>
      </w:pPr>
      <w:r>
        <w:rPr>
          <w:sz w:val="22"/>
        </w:rPr>
        <w:t>Title:</w:t>
      </w:r>
      <w:r w:rsidR="00E90E49" w:rsidRPr="00CE0424">
        <w:rPr>
          <w:sz w:val="22"/>
        </w:rPr>
        <w:tab/>
      </w:r>
      <w:r w:rsidR="00E527FA" w:rsidRPr="00965470">
        <w:rPr>
          <w:sz w:val="22"/>
        </w:rPr>
        <w:t xml:space="preserve">Maintenance for </w:t>
      </w:r>
      <w:bookmarkStart w:id="0" w:name="_Hlk521600598"/>
      <w:r w:rsidR="00E527FA" w:rsidRPr="00965470">
        <w:rPr>
          <w:sz w:val="22"/>
        </w:rPr>
        <w:t>Flexible PDSCH/PUSCH starting PRB</w:t>
      </w:r>
      <w:bookmarkEnd w:id="0"/>
      <w:r w:rsidR="003428C0">
        <w:rPr>
          <w:sz w:val="22"/>
        </w:rPr>
        <w:t xml:space="preserve"> for Rel-15 LTE-MTC</w:t>
      </w:r>
    </w:p>
    <w:p w14:paraId="4E97C310" w14:textId="5E6DCDBB" w:rsidR="00E90E49" w:rsidRPr="00CE0424" w:rsidRDefault="00E90E49" w:rsidP="00D546FF">
      <w:pPr>
        <w:pStyle w:val="3GPPHeader"/>
        <w:rPr>
          <w:sz w:val="22"/>
        </w:rPr>
      </w:pPr>
      <w:r w:rsidRPr="00CE0424">
        <w:rPr>
          <w:sz w:val="22"/>
        </w:rPr>
        <w:t>Document for:</w:t>
      </w:r>
      <w:r w:rsidRPr="00CE0424">
        <w:rPr>
          <w:sz w:val="22"/>
        </w:rPr>
        <w:tab/>
      </w:r>
      <w:r w:rsidRPr="00BF7343">
        <w:rPr>
          <w:sz w:val="22"/>
        </w:rPr>
        <w:t>Discussion</w:t>
      </w:r>
      <w:r w:rsidR="00136A5F">
        <w:rPr>
          <w:sz w:val="22"/>
        </w:rPr>
        <w:t xml:space="preserve"> and</w:t>
      </w:r>
      <w:bookmarkStart w:id="1" w:name="_GoBack"/>
      <w:bookmarkEnd w:id="1"/>
      <w:r w:rsidRPr="00BF7343">
        <w:rPr>
          <w:sz w:val="22"/>
        </w:rPr>
        <w:t xml:space="preserve"> Decision</w:t>
      </w:r>
    </w:p>
    <w:p w14:paraId="2F231A2D" w14:textId="77777777" w:rsidR="00E90E49" w:rsidRPr="00CE0424" w:rsidRDefault="00E90E49" w:rsidP="00E90E49"/>
    <w:p w14:paraId="70AFF042" w14:textId="77777777" w:rsidR="00E90E49" w:rsidRPr="00CE0424" w:rsidRDefault="00230D18" w:rsidP="00CE0424">
      <w:pPr>
        <w:pStyle w:val="Heading1"/>
      </w:pPr>
      <w:r>
        <w:t>1</w:t>
      </w:r>
      <w:r>
        <w:tab/>
      </w:r>
      <w:r w:rsidR="00E90E49" w:rsidRPr="00CE0424">
        <w:t>Introduction</w:t>
      </w:r>
    </w:p>
    <w:p w14:paraId="28A111DC" w14:textId="7A15CC33" w:rsidR="00477768" w:rsidRDefault="00E527FA" w:rsidP="00CE0424">
      <w:pPr>
        <w:pStyle w:val="BodyText"/>
        <w:rPr>
          <w:rFonts w:cs="Arial"/>
        </w:rPr>
      </w:pPr>
      <w:r w:rsidRPr="00E527FA">
        <w:t>Flexible PDSCH/PUSCH starting PRB</w:t>
      </w:r>
      <w:r w:rsidR="00F1458A">
        <w:t xml:space="preserve"> was introduced in the </w:t>
      </w:r>
      <w:r w:rsidR="00F1458A" w:rsidRPr="00F52ED0">
        <w:rPr>
          <w:rFonts w:cs="Arial"/>
        </w:rPr>
        <w:t>Rel-15 Eve</w:t>
      </w:r>
      <w:r w:rsidR="00E910BF">
        <w:rPr>
          <w:rFonts w:cs="Arial"/>
        </w:rPr>
        <w:t xml:space="preserve">n further enhanced MTC for LTE </w:t>
      </w:r>
      <w:r w:rsidR="00F1458A">
        <w:rPr>
          <w:rFonts w:cs="Arial"/>
        </w:rPr>
        <w:t>work item</w:t>
      </w:r>
      <w:r w:rsidR="00E910BF">
        <w:rPr>
          <w:rFonts w:cs="Arial"/>
        </w:rPr>
        <w:t xml:space="preserve"> </w:t>
      </w:r>
      <w:r w:rsidR="00E910BF">
        <w:rPr>
          <w:rFonts w:cs="Arial"/>
        </w:rPr>
        <w:fldChar w:fldCharType="begin"/>
      </w:r>
      <w:r w:rsidR="00E910BF">
        <w:rPr>
          <w:rFonts w:cs="Arial"/>
        </w:rPr>
        <w:instrText xml:space="preserve"> REF _Ref521600909 \r \h </w:instrText>
      </w:r>
      <w:r w:rsidR="00E910BF">
        <w:rPr>
          <w:rFonts w:cs="Arial"/>
        </w:rPr>
      </w:r>
      <w:r w:rsidR="00E910BF">
        <w:rPr>
          <w:rFonts w:cs="Arial"/>
        </w:rPr>
        <w:fldChar w:fldCharType="separate"/>
      </w:r>
      <w:r w:rsidR="00F12F5B">
        <w:rPr>
          <w:rFonts w:cs="Arial"/>
        </w:rPr>
        <w:t>[1]</w:t>
      </w:r>
      <w:r w:rsidR="00E910BF">
        <w:rPr>
          <w:rFonts w:cs="Arial"/>
        </w:rPr>
        <w:fldChar w:fldCharType="end"/>
      </w:r>
      <w:r w:rsidR="00CB32BF">
        <w:rPr>
          <w:rFonts w:cs="Arial"/>
        </w:rPr>
        <w:t>.</w:t>
      </w:r>
      <w:r w:rsidR="00CC3BAC">
        <w:rPr>
          <w:rFonts w:cs="Arial"/>
        </w:rPr>
        <w:t xml:space="preserve"> The following agreements were made</w:t>
      </w:r>
      <w:r w:rsidR="00AB5A11">
        <w:rPr>
          <w:rFonts w:cs="Arial"/>
        </w:rPr>
        <w:t>:</w:t>
      </w:r>
      <w:r w:rsidR="00CC3BAC">
        <w:rPr>
          <w:rFonts w:cs="Arial"/>
        </w:rPr>
        <w:t xml:space="preserve"> </w:t>
      </w:r>
    </w:p>
    <w:p w14:paraId="78BDFF06" w14:textId="0D95067E" w:rsidR="00E910BF" w:rsidRPr="00365BF9" w:rsidRDefault="00E910BF" w:rsidP="007F7140">
      <w:pPr>
        <w:tabs>
          <w:tab w:val="left" w:pos="567"/>
        </w:tabs>
        <w:snapToGrid w:val="0"/>
        <w:spacing w:after="0"/>
        <w:ind w:left="360"/>
        <w:rPr>
          <w:rFonts w:ascii="Arial" w:hAnsi="Arial" w:cs="Arial"/>
        </w:rPr>
      </w:pPr>
      <w:bookmarkStart w:id="2" w:name="_Ref178064866"/>
      <w:r w:rsidRPr="007F7140">
        <w:rPr>
          <w:rFonts w:ascii="Arial" w:hAnsi="Arial" w:cs="Arial"/>
          <w:b/>
        </w:rPr>
        <w:t>RAN1#92</w:t>
      </w:r>
      <w:r w:rsidRPr="00365BF9">
        <w:rPr>
          <w:rFonts w:ascii="Arial" w:hAnsi="Arial" w:cs="Arial"/>
        </w:rPr>
        <w:t xml:space="preserve"> discussed </w:t>
      </w:r>
      <w:r w:rsidRPr="00365BF9">
        <w:rPr>
          <w:rFonts w:ascii="Arial" w:hAnsi="Arial" w:cs="Arial"/>
          <w:b/>
        </w:rPr>
        <w:t>flexible starting PRB for PDSCH/PUSCH</w:t>
      </w:r>
      <w:r w:rsidRPr="00365BF9">
        <w:rPr>
          <w:rFonts w:ascii="Arial" w:hAnsi="Arial" w:cs="Arial"/>
        </w:rPr>
        <w:t xml:space="preserve"> and made the following agreements</w:t>
      </w:r>
      <w:r>
        <w:rPr>
          <w:rFonts w:ascii="Arial" w:hAnsi="Arial" w:cs="Arial"/>
        </w:rPr>
        <w:t xml:space="preserve"> </w:t>
      </w:r>
    </w:p>
    <w:p w14:paraId="2BED6EC9" w14:textId="77777777" w:rsidR="00E910BF" w:rsidRPr="00365BF9" w:rsidRDefault="00E910BF" w:rsidP="007F7140">
      <w:pPr>
        <w:tabs>
          <w:tab w:val="left" w:pos="567"/>
        </w:tabs>
        <w:snapToGrid w:val="0"/>
        <w:spacing w:after="0"/>
        <w:ind w:left="360"/>
        <w:rPr>
          <w:rFonts w:ascii="Arial" w:hAnsi="Arial" w:cs="Arial"/>
        </w:rPr>
      </w:pPr>
    </w:p>
    <w:p w14:paraId="4EBFD42F" w14:textId="77777777" w:rsidR="00E910BF" w:rsidRPr="00365BF9" w:rsidRDefault="00E910BF" w:rsidP="007F7140">
      <w:pPr>
        <w:numPr>
          <w:ilvl w:val="0"/>
          <w:numId w:val="23"/>
        </w:numPr>
        <w:tabs>
          <w:tab w:val="clear" w:pos="720"/>
          <w:tab w:val="num" w:pos="1080"/>
        </w:tabs>
        <w:spacing w:after="0"/>
        <w:ind w:left="1080"/>
        <w:rPr>
          <w:rFonts w:ascii="Arial" w:hAnsi="Arial" w:cs="Arial"/>
          <w:bCs/>
        </w:rPr>
      </w:pPr>
      <w:r w:rsidRPr="00365BF9">
        <w:rPr>
          <w:rFonts w:ascii="Arial" w:hAnsi="Arial" w:cs="Arial"/>
          <w:bCs/>
        </w:rPr>
        <w:t>For a BL/CE UE, higher layer signaling enable/disable</w:t>
      </w:r>
      <w:r w:rsidRPr="00365BF9">
        <w:rPr>
          <w:rFonts w:ascii="Arial" w:eastAsia="MS Mincho" w:hAnsi="Arial" w:cs="Arial"/>
          <w:iCs/>
          <w:color w:val="FF0000"/>
        </w:rPr>
        <w:t xml:space="preserve"> </w:t>
      </w:r>
    </w:p>
    <w:p w14:paraId="303BEDA3" w14:textId="77777777" w:rsidR="00E910BF" w:rsidRPr="00365BF9" w:rsidRDefault="00E910BF" w:rsidP="007F7140">
      <w:pPr>
        <w:numPr>
          <w:ilvl w:val="1"/>
          <w:numId w:val="23"/>
        </w:numPr>
        <w:spacing w:after="0"/>
        <w:ind w:left="1800"/>
        <w:rPr>
          <w:rFonts w:ascii="Arial" w:hAnsi="Arial" w:cs="Arial"/>
          <w:bCs/>
        </w:rPr>
      </w:pPr>
      <w:r w:rsidRPr="00365BF9">
        <w:rPr>
          <w:rFonts w:ascii="Arial" w:hAnsi="Arial" w:cs="Arial"/>
          <w:bCs/>
        </w:rPr>
        <w:t>the more flexible starting PDSCH PRB</w:t>
      </w:r>
    </w:p>
    <w:p w14:paraId="55F554F2" w14:textId="170EC7A3" w:rsidR="00E910BF" w:rsidRPr="007F7140" w:rsidRDefault="00E910BF" w:rsidP="007F7140">
      <w:pPr>
        <w:numPr>
          <w:ilvl w:val="1"/>
          <w:numId w:val="23"/>
        </w:numPr>
        <w:spacing w:after="0"/>
        <w:ind w:left="1800"/>
        <w:rPr>
          <w:rFonts w:ascii="Arial" w:hAnsi="Arial" w:cs="Arial"/>
          <w:bCs/>
        </w:rPr>
      </w:pPr>
      <w:r w:rsidRPr="00365BF9">
        <w:rPr>
          <w:rFonts w:ascii="Arial" w:hAnsi="Arial" w:cs="Arial"/>
          <w:bCs/>
        </w:rPr>
        <w:t>the more flexible starting PUSCH PRB</w:t>
      </w:r>
    </w:p>
    <w:p w14:paraId="0E17C49E" w14:textId="112D685B" w:rsidR="00E910BF" w:rsidRPr="007F7140" w:rsidRDefault="00E910BF" w:rsidP="007F7140">
      <w:pPr>
        <w:numPr>
          <w:ilvl w:val="0"/>
          <w:numId w:val="23"/>
        </w:numPr>
        <w:spacing w:after="0"/>
        <w:ind w:left="1080"/>
        <w:rPr>
          <w:rFonts w:ascii="Arial" w:hAnsi="Arial" w:cs="Arial"/>
          <w:bCs/>
        </w:rPr>
      </w:pPr>
      <w:r w:rsidRPr="00365BF9">
        <w:rPr>
          <w:rFonts w:ascii="Arial" w:hAnsi="Arial" w:cs="Arial"/>
          <w:bCs/>
        </w:rPr>
        <w:t>This makes no assumption about signaling details</w:t>
      </w:r>
    </w:p>
    <w:p w14:paraId="40DE9AB8" w14:textId="77777777" w:rsidR="00E910BF" w:rsidRPr="00365BF9" w:rsidRDefault="00E910BF" w:rsidP="007F7140">
      <w:pPr>
        <w:numPr>
          <w:ilvl w:val="0"/>
          <w:numId w:val="23"/>
        </w:numPr>
        <w:spacing w:after="0"/>
        <w:ind w:left="1080"/>
        <w:rPr>
          <w:rFonts w:ascii="Arial" w:hAnsi="Arial" w:cs="Arial"/>
          <w:bCs/>
        </w:rPr>
      </w:pPr>
      <w:r w:rsidRPr="00365BF9">
        <w:rPr>
          <w:rFonts w:ascii="Arial" w:hAnsi="Arial" w:cs="Arial"/>
          <w:bCs/>
        </w:rPr>
        <w:t>For a BL/CE UE configured with flexible starting PDSCH PRB and max 1.4 MHz PDSCH channel bandwidth,</w:t>
      </w:r>
    </w:p>
    <w:p w14:paraId="36E25CF6" w14:textId="77777777" w:rsidR="00E910BF" w:rsidRPr="00365BF9" w:rsidRDefault="00E910BF" w:rsidP="007F7140">
      <w:pPr>
        <w:numPr>
          <w:ilvl w:val="1"/>
          <w:numId w:val="23"/>
        </w:numPr>
        <w:spacing w:after="0"/>
        <w:ind w:left="1800"/>
        <w:rPr>
          <w:rFonts w:ascii="Arial" w:hAnsi="Arial" w:cs="Arial"/>
          <w:bCs/>
        </w:rPr>
      </w:pPr>
      <w:r w:rsidRPr="00365BF9">
        <w:rPr>
          <w:rFonts w:ascii="Arial" w:hAnsi="Arial" w:cs="Arial"/>
          <w:bCs/>
        </w:rPr>
        <w:t>PDSCH frequency hopping is supported.</w:t>
      </w:r>
    </w:p>
    <w:p w14:paraId="25151439" w14:textId="77777777" w:rsidR="00E910BF" w:rsidRPr="00365BF9" w:rsidRDefault="00E910BF" w:rsidP="007F7140">
      <w:pPr>
        <w:numPr>
          <w:ilvl w:val="2"/>
          <w:numId w:val="23"/>
        </w:numPr>
        <w:spacing w:after="0"/>
        <w:ind w:left="2520"/>
        <w:rPr>
          <w:rFonts w:ascii="Arial" w:hAnsi="Arial" w:cs="Arial"/>
          <w:bCs/>
        </w:rPr>
      </w:pPr>
      <w:r w:rsidRPr="00365BF9">
        <w:rPr>
          <w:rFonts w:ascii="Arial" w:hAnsi="Arial" w:cs="Arial"/>
          <w:bCs/>
        </w:rPr>
        <w:t>Details of frequency hopping is FFS</w:t>
      </w:r>
    </w:p>
    <w:p w14:paraId="34B593CB" w14:textId="77777777" w:rsidR="00E910BF" w:rsidRPr="00365BF9" w:rsidRDefault="00E910BF" w:rsidP="007F7140">
      <w:pPr>
        <w:numPr>
          <w:ilvl w:val="0"/>
          <w:numId w:val="23"/>
        </w:numPr>
        <w:spacing w:after="0"/>
        <w:ind w:left="1080"/>
        <w:rPr>
          <w:rFonts w:ascii="Arial" w:hAnsi="Arial" w:cs="Arial"/>
          <w:bCs/>
        </w:rPr>
      </w:pPr>
      <w:r w:rsidRPr="00365BF9">
        <w:rPr>
          <w:rFonts w:ascii="Arial" w:hAnsi="Arial" w:cs="Arial"/>
          <w:bCs/>
        </w:rPr>
        <w:t>For a BL/CE UE configured with flexible starting PUSCH PRB and max 1.4 MHz PUSCH channel bandwidth,</w:t>
      </w:r>
    </w:p>
    <w:p w14:paraId="34F3985B" w14:textId="77777777" w:rsidR="00E910BF" w:rsidRPr="00365BF9" w:rsidRDefault="00E910BF" w:rsidP="007F7140">
      <w:pPr>
        <w:numPr>
          <w:ilvl w:val="1"/>
          <w:numId w:val="23"/>
        </w:numPr>
        <w:spacing w:after="0"/>
        <w:ind w:left="1800"/>
        <w:rPr>
          <w:rFonts w:ascii="Arial" w:hAnsi="Arial" w:cs="Arial"/>
          <w:bCs/>
        </w:rPr>
      </w:pPr>
      <w:r w:rsidRPr="00365BF9">
        <w:rPr>
          <w:rFonts w:ascii="Arial" w:hAnsi="Arial" w:cs="Arial"/>
          <w:bCs/>
        </w:rPr>
        <w:t>PUSCH frequency hopping is supported.</w:t>
      </w:r>
    </w:p>
    <w:p w14:paraId="0028AB16" w14:textId="77777777" w:rsidR="00E910BF" w:rsidRPr="00365BF9" w:rsidRDefault="00E910BF" w:rsidP="007F7140">
      <w:pPr>
        <w:numPr>
          <w:ilvl w:val="2"/>
          <w:numId w:val="23"/>
        </w:numPr>
        <w:spacing w:after="0"/>
        <w:ind w:left="2520"/>
        <w:rPr>
          <w:rFonts w:ascii="Arial" w:hAnsi="Arial" w:cs="Arial"/>
          <w:bCs/>
        </w:rPr>
      </w:pPr>
      <w:r w:rsidRPr="00365BF9">
        <w:rPr>
          <w:rFonts w:ascii="Arial" w:hAnsi="Arial" w:cs="Arial"/>
          <w:bCs/>
        </w:rPr>
        <w:t>Details of frequency hopping is FFS</w:t>
      </w:r>
    </w:p>
    <w:p w14:paraId="33381E2B" w14:textId="77777777" w:rsidR="00E910BF" w:rsidRPr="00365BF9" w:rsidRDefault="00E910BF" w:rsidP="00E910BF">
      <w:pPr>
        <w:tabs>
          <w:tab w:val="left" w:pos="567"/>
        </w:tabs>
        <w:snapToGrid w:val="0"/>
        <w:spacing w:after="0"/>
        <w:rPr>
          <w:rFonts w:ascii="Arial" w:hAnsi="Arial" w:cs="Arial"/>
        </w:rPr>
      </w:pPr>
    </w:p>
    <w:p w14:paraId="0AEA33CA" w14:textId="77777777" w:rsidR="00E910BF" w:rsidRPr="00365BF9" w:rsidRDefault="00E910BF" w:rsidP="007F7140">
      <w:pPr>
        <w:tabs>
          <w:tab w:val="left" w:pos="567"/>
        </w:tabs>
        <w:snapToGrid w:val="0"/>
        <w:spacing w:after="0"/>
        <w:ind w:left="360"/>
        <w:rPr>
          <w:rFonts w:ascii="Arial" w:hAnsi="Arial" w:cs="Arial"/>
        </w:rPr>
      </w:pPr>
      <w:r w:rsidRPr="007F7140">
        <w:rPr>
          <w:rFonts w:ascii="Arial" w:hAnsi="Arial" w:cs="Arial"/>
          <w:b/>
        </w:rPr>
        <w:t>RAN1#92bis</w:t>
      </w:r>
      <w:r w:rsidRPr="00365BF9">
        <w:rPr>
          <w:rFonts w:ascii="Arial" w:hAnsi="Arial" w:cs="Arial"/>
        </w:rPr>
        <w:t xml:space="preserve"> discussed </w:t>
      </w:r>
      <w:r w:rsidRPr="00365BF9">
        <w:rPr>
          <w:rFonts w:ascii="Arial" w:hAnsi="Arial" w:cs="Arial"/>
          <w:b/>
        </w:rPr>
        <w:t>flexible starting PRB for PDSCH/PUSCH</w:t>
      </w:r>
      <w:r w:rsidRPr="00365BF9">
        <w:rPr>
          <w:rFonts w:ascii="Arial" w:hAnsi="Arial" w:cs="Arial"/>
        </w:rPr>
        <w:t xml:space="preserve"> and made the following agreements</w:t>
      </w:r>
      <w:r w:rsidRPr="00365BF9">
        <w:rPr>
          <w:rFonts w:ascii="Arial" w:eastAsia="MS Mincho" w:hAnsi="Arial" w:cs="Arial"/>
          <w:iCs/>
        </w:rPr>
        <w:t>:</w:t>
      </w:r>
      <w:r w:rsidRPr="00365BF9">
        <w:rPr>
          <w:rFonts w:ascii="Arial" w:eastAsia="MS Mincho" w:hAnsi="Arial" w:cs="Arial"/>
          <w:iCs/>
          <w:color w:val="FF0000"/>
        </w:rPr>
        <w:t xml:space="preserve"> </w:t>
      </w:r>
    </w:p>
    <w:p w14:paraId="55D177EA" w14:textId="77777777" w:rsidR="00E910BF" w:rsidRPr="00365BF9" w:rsidRDefault="00E910BF" w:rsidP="007F7140">
      <w:pPr>
        <w:tabs>
          <w:tab w:val="left" w:pos="567"/>
        </w:tabs>
        <w:snapToGrid w:val="0"/>
        <w:spacing w:after="0"/>
        <w:ind w:left="360"/>
        <w:rPr>
          <w:rFonts w:ascii="Arial" w:hAnsi="Arial" w:cs="Arial"/>
        </w:rPr>
      </w:pPr>
    </w:p>
    <w:p w14:paraId="5FF23A4D" w14:textId="77777777" w:rsidR="00E910BF" w:rsidRPr="00365BF9" w:rsidRDefault="00E910BF" w:rsidP="007F7140">
      <w:pPr>
        <w:numPr>
          <w:ilvl w:val="0"/>
          <w:numId w:val="23"/>
        </w:numPr>
        <w:tabs>
          <w:tab w:val="clear" w:pos="720"/>
          <w:tab w:val="num" w:pos="1080"/>
        </w:tabs>
        <w:spacing w:after="0"/>
        <w:ind w:left="1080"/>
        <w:rPr>
          <w:rFonts w:ascii="Arial" w:hAnsi="Arial" w:cs="Arial"/>
        </w:rPr>
      </w:pPr>
      <w:r w:rsidRPr="00365BF9">
        <w:rPr>
          <w:rFonts w:ascii="Arial" w:hAnsi="Arial" w:cs="Arial"/>
        </w:rPr>
        <w:t xml:space="preserve">At least for BL/CE UE configured without other Rel-14/15 features, DCI size after padding is not increased </w:t>
      </w:r>
      <w:proofErr w:type="gramStart"/>
      <w:r w:rsidRPr="00365BF9">
        <w:rPr>
          <w:rFonts w:ascii="Arial" w:hAnsi="Arial" w:cs="Arial"/>
        </w:rPr>
        <w:t>in order to</w:t>
      </w:r>
      <w:proofErr w:type="gramEnd"/>
      <w:r w:rsidRPr="00365BF9">
        <w:rPr>
          <w:rFonts w:ascii="Arial" w:hAnsi="Arial" w:cs="Arial"/>
        </w:rPr>
        <w:t xml:space="preserve"> support flexible starting PRB.</w:t>
      </w:r>
    </w:p>
    <w:p w14:paraId="6AB38432" w14:textId="77777777" w:rsidR="00E910BF" w:rsidRPr="00365BF9" w:rsidRDefault="00E910BF" w:rsidP="007F7140">
      <w:pPr>
        <w:numPr>
          <w:ilvl w:val="1"/>
          <w:numId w:val="23"/>
        </w:numPr>
        <w:tabs>
          <w:tab w:val="clear" w:pos="1440"/>
          <w:tab w:val="num" w:pos="1800"/>
        </w:tabs>
        <w:spacing w:after="0"/>
        <w:ind w:left="1800"/>
        <w:rPr>
          <w:rFonts w:ascii="Arial" w:hAnsi="Arial" w:cs="Arial"/>
        </w:rPr>
      </w:pPr>
      <w:r w:rsidRPr="00365BF9">
        <w:rPr>
          <w:rFonts w:ascii="Arial" w:hAnsi="Arial" w:cs="Arial"/>
        </w:rPr>
        <w:t>Note: For PUSCH and PDSCH, the solution may or may not be the same</w:t>
      </w:r>
    </w:p>
    <w:p w14:paraId="03E36568" w14:textId="77777777" w:rsidR="00E910BF" w:rsidRPr="00365BF9" w:rsidRDefault="00E910BF" w:rsidP="007F7140">
      <w:pPr>
        <w:numPr>
          <w:ilvl w:val="1"/>
          <w:numId w:val="23"/>
        </w:numPr>
        <w:tabs>
          <w:tab w:val="clear" w:pos="1440"/>
          <w:tab w:val="num" w:pos="1800"/>
        </w:tabs>
        <w:spacing w:after="0"/>
        <w:ind w:left="1800"/>
        <w:rPr>
          <w:rFonts w:ascii="Arial" w:hAnsi="Arial" w:cs="Arial"/>
        </w:rPr>
      </w:pPr>
      <w:r w:rsidRPr="00365BF9">
        <w:rPr>
          <w:rFonts w:ascii="Arial" w:hAnsi="Arial" w:cs="Arial"/>
        </w:rPr>
        <w:t>Note: The solution may or may not be the same for FDD and TDD</w:t>
      </w:r>
    </w:p>
    <w:p w14:paraId="45B60832" w14:textId="77777777" w:rsidR="00E910BF" w:rsidRPr="00365BF9" w:rsidRDefault="00E910BF" w:rsidP="00E910BF">
      <w:pPr>
        <w:spacing w:after="0"/>
        <w:rPr>
          <w:rFonts w:ascii="Arial" w:hAnsi="Arial" w:cs="Arial"/>
        </w:rPr>
      </w:pPr>
    </w:p>
    <w:p w14:paraId="73652F97" w14:textId="77777777" w:rsidR="00E910BF" w:rsidRPr="00365BF9" w:rsidRDefault="00E910BF" w:rsidP="007F7140">
      <w:pPr>
        <w:tabs>
          <w:tab w:val="left" w:pos="567"/>
        </w:tabs>
        <w:snapToGrid w:val="0"/>
        <w:spacing w:after="0"/>
        <w:ind w:left="360"/>
        <w:rPr>
          <w:rFonts w:ascii="Arial" w:hAnsi="Arial" w:cs="Arial"/>
        </w:rPr>
      </w:pPr>
      <w:r w:rsidRPr="007F7140">
        <w:rPr>
          <w:rFonts w:ascii="Arial" w:hAnsi="Arial" w:cs="Arial"/>
          <w:b/>
        </w:rPr>
        <w:t>RAN1#93</w:t>
      </w:r>
      <w:r w:rsidRPr="00365BF9">
        <w:rPr>
          <w:rFonts w:ascii="Arial" w:hAnsi="Arial" w:cs="Arial"/>
        </w:rPr>
        <w:t xml:space="preserve"> discussed </w:t>
      </w:r>
      <w:r w:rsidRPr="00365BF9">
        <w:rPr>
          <w:rFonts w:ascii="Arial" w:hAnsi="Arial" w:cs="Arial"/>
          <w:b/>
        </w:rPr>
        <w:t>flexible starting PRB for PDSCH/PUSCH</w:t>
      </w:r>
      <w:r w:rsidRPr="00365BF9">
        <w:rPr>
          <w:rFonts w:ascii="Arial" w:hAnsi="Arial" w:cs="Arial"/>
        </w:rPr>
        <w:t xml:space="preserve"> and made following agreements</w:t>
      </w:r>
      <w:r w:rsidRPr="00365BF9">
        <w:rPr>
          <w:rFonts w:ascii="Arial" w:eastAsia="MS Mincho" w:hAnsi="Arial" w:cs="Arial"/>
          <w:iCs/>
        </w:rPr>
        <w:t>:</w:t>
      </w:r>
      <w:r w:rsidRPr="00365BF9">
        <w:rPr>
          <w:rFonts w:ascii="Arial" w:eastAsia="MS Mincho" w:hAnsi="Arial" w:cs="Arial"/>
          <w:iCs/>
          <w:color w:val="FF0000"/>
        </w:rPr>
        <w:t xml:space="preserve"> </w:t>
      </w:r>
    </w:p>
    <w:p w14:paraId="0BDFB45C" w14:textId="77777777" w:rsidR="00E910BF" w:rsidRPr="00365BF9" w:rsidRDefault="00E910BF" w:rsidP="007F7140">
      <w:pPr>
        <w:spacing w:after="0"/>
        <w:ind w:left="360"/>
        <w:rPr>
          <w:rFonts w:ascii="Arial" w:hAnsi="Arial" w:cs="Arial"/>
        </w:rPr>
      </w:pPr>
    </w:p>
    <w:p w14:paraId="2016F4AE" w14:textId="44C9EBF2" w:rsidR="00E910BF" w:rsidRPr="00365BF9" w:rsidRDefault="00E910BF" w:rsidP="007F7140">
      <w:pPr>
        <w:numPr>
          <w:ilvl w:val="0"/>
          <w:numId w:val="23"/>
        </w:numPr>
        <w:tabs>
          <w:tab w:val="clear" w:pos="720"/>
          <w:tab w:val="num" w:pos="1080"/>
        </w:tabs>
        <w:spacing w:after="0"/>
        <w:ind w:left="1080"/>
        <w:rPr>
          <w:rFonts w:ascii="Arial" w:hAnsi="Arial" w:cs="Arial"/>
          <w:bCs/>
        </w:rPr>
      </w:pPr>
      <w:r w:rsidRPr="00365BF9">
        <w:rPr>
          <w:rFonts w:ascii="Arial" w:hAnsi="Arial" w:cs="Arial"/>
        </w:rPr>
        <w:t xml:space="preserve">For PDSCH in CE mode A, </w:t>
      </w:r>
      <w:r w:rsidRPr="00365BF9">
        <w:rPr>
          <w:rFonts w:ascii="Arial" w:hAnsi="Arial" w:cs="Arial"/>
          <w:bCs/>
          <w:iCs/>
        </w:rPr>
        <w:t>10 new states are introduced to indicate new resource allocation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94"/>
        <w:gridCol w:w="2410"/>
      </w:tblGrid>
      <w:tr w:rsidR="00E910BF" w:rsidRPr="00365BF9" w14:paraId="7D1C8DE2" w14:textId="77777777" w:rsidTr="007F7140">
        <w:trPr>
          <w:trHeight w:val="796"/>
          <w:jc w:val="center"/>
        </w:trPr>
        <w:tc>
          <w:tcPr>
            <w:tcW w:w="1271" w:type="dxa"/>
            <w:tcBorders>
              <w:top w:val="single" w:sz="4" w:space="0" w:color="auto"/>
              <w:left w:val="single" w:sz="4" w:space="0" w:color="auto"/>
              <w:bottom w:val="single" w:sz="4" w:space="0" w:color="auto"/>
              <w:right w:val="single" w:sz="4" w:space="0" w:color="auto"/>
            </w:tcBorders>
            <w:hideMark/>
          </w:tcPr>
          <w:p w14:paraId="2BB58716"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lastRenderedPageBreak/>
              <w:t>10 states</w:t>
            </w:r>
          </w:p>
        </w:tc>
        <w:tc>
          <w:tcPr>
            <w:tcW w:w="4394" w:type="dxa"/>
            <w:tcBorders>
              <w:top w:val="single" w:sz="4" w:space="0" w:color="auto"/>
              <w:left w:val="single" w:sz="4" w:space="0" w:color="auto"/>
              <w:bottom w:val="single" w:sz="4" w:space="0" w:color="auto"/>
              <w:right w:val="single" w:sz="4" w:space="0" w:color="auto"/>
            </w:tcBorders>
            <w:hideMark/>
          </w:tcPr>
          <w:p w14:paraId="6E0C2298"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Index of the starting PRB of the allocated resource (s is start PRB of RBG where the first PRB of the narrow band located; t = end PRB of RBG where the last PRB of the narrow band located.)</w:t>
            </w:r>
          </w:p>
        </w:tc>
        <w:tc>
          <w:tcPr>
            <w:tcW w:w="2410" w:type="dxa"/>
            <w:tcBorders>
              <w:top w:val="single" w:sz="4" w:space="0" w:color="auto"/>
              <w:left w:val="single" w:sz="4" w:space="0" w:color="auto"/>
              <w:bottom w:val="single" w:sz="4" w:space="0" w:color="auto"/>
              <w:right w:val="single" w:sz="4" w:space="0" w:color="auto"/>
            </w:tcBorders>
            <w:hideMark/>
          </w:tcPr>
          <w:p w14:paraId="6298059F"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 xml:space="preserve">Number of PRBs allocated </w:t>
            </w:r>
          </w:p>
        </w:tc>
      </w:tr>
      <w:tr w:rsidR="00E910BF" w:rsidRPr="00365BF9" w14:paraId="708013A1" w14:textId="77777777" w:rsidTr="007F7140">
        <w:trPr>
          <w:trHeight w:val="73"/>
          <w:jc w:val="center"/>
        </w:trPr>
        <w:tc>
          <w:tcPr>
            <w:tcW w:w="1271" w:type="dxa"/>
            <w:tcBorders>
              <w:top w:val="single" w:sz="4" w:space="0" w:color="auto"/>
              <w:left w:val="single" w:sz="4" w:space="0" w:color="auto"/>
              <w:bottom w:val="single" w:sz="4" w:space="0" w:color="auto"/>
              <w:right w:val="single" w:sz="4" w:space="0" w:color="auto"/>
            </w:tcBorders>
            <w:hideMark/>
          </w:tcPr>
          <w:p w14:paraId="4B7C113C"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1</w:t>
            </w:r>
          </w:p>
        </w:tc>
        <w:tc>
          <w:tcPr>
            <w:tcW w:w="4394" w:type="dxa"/>
            <w:tcBorders>
              <w:top w:val="single" w:sz="4" w:space="0" w:color="auto"/>
              <w:left w:val="single" w:sz="4" w:space="0" w:color="auto"/>
              <w:bottom w:val="single" w:sz="4" w:space="0" w:color="auto"/>
              <w:right w:val="single" w:sz="4" w:space="0" w:color="auto"/>
            </w:tcBorders>
            <w:hideMark/>
          </w:tcPr>
          <w:p w14:paraId="71AE07A1"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14:paraId="3C67ADB7"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2</w:t>
            </w:r>
          </w:p>
        </w:tc>
      </w:tr>
      <w:tr w:rsidR="00E910BF" w:rsidRPr="00365BF9" w14:paraId="1B5454BC" w14:textId="77777777" w:rsidTr="007F7140">
        <w:trPr>
          <w:trHeight w:val="81"/>
          <w:jc w:val="center"/>
        </w:trPr>
        <w:tc>
          <w:tcPr>
            <w:tcW w:w="1271" w:type="dxa"/>
            <w:tcBorders>
              <w:top w:val="single" w:sz="4" w:space="0" w:color="auto"/>
              <w:left w:val="single" w:sz="4" w:space="0" w:color="auto"/>
              <w:bottom w:val="single" w:sz="4" w:space="0" w:color="auto"/>
              <w:right w:val="single" w:sz="4" w:space="0" w:color="auto"/>
            </w:tcBorders>
            <w:hideMark/>
          </w:tcPr>
          <w:p w14:paraId="7C7DF2A2"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2</w:t>
            </w:r>
          </w:p>
        </w:tc>
        <w:tc>
          <w:tcPr>
            <w:tcW w:w="4394" w:type="dxa"/>
            <w:tcBorders>
              <w:top w:val="single" w:sz="4" w:space="0" w:color="auto"/>
              <w:left w:val="single" w:sz="4" w:space="0" w:color="auto"/>
              <w:bottom w:val="single" w:sz="4" w:space="0" w:color="auto"/>
              <w:right w:val="single" w:sz="4" w:space="0" w:color="auto"/>
            </w:tcBorders>
            <w:hideMark/>
          </w:tcPr>
          <w:p w14:paraId="06D22778"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14:paraId="4740C863"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3</w:t>
            </w:r>
          </w:p>
        </w:tc>
      </w:tr>
      <w:tr w:rsidR="00E910BF" w:rsidRPr="00365BF9" w14:paraId="008161D4" w14:textId="77777777" w:rsidTr="007F7140">
        <w:trPr>
          <w:trHeight w:val="274"/>
          <w:jc w:val="center"/>
        </w:trPr>
        <w:tc>
          <w:tcPr>
            <w:tcW w:w="1271" w:type="dxa"/>
            <w:tcBorders>
              <w:top w:val="single" w:sz="4" w:space="0" w:color="auto"/>
              <w:left w:val="single" w:sz="4" w:space="0" w:color="auto"/>
              <w:bottom w:val="single" w:sz="4" w:space="0" w:color="auto"/>
              <w:right w:val="single" w:sz="4" w:space="0" w:color="auto"/>
            </w:tcBorders>
            <w:hideMark/>
          </w:tcPr>
          <w:p w14:paraId="0D4370D0"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3</w:t>
            </w:r>
          </w:p>
        </w:tc>
        <w:tc>
          <w:tcPr>
            <w:tcW w:w="4394" w:type="dxa"/>
            <w:tcBorders>
              <w:top w:val="single" w:sz="4" w:space="0" w:color="auto"/>
              <w:left w:val="single" w:sz="4" w:space="0" w:color="auto"/>
              <w:bottom w:val="single" w:sz="4" w:space="0" w:color="auto"/>
              <w:right w:val="single" w:sz="4" w:space="0" w:color="auto"/>
            </w:tcBorders>
            <w:hideMark/>
          </w:tcPr>
          <w:p w14:paraId="6F4B9E19"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14:paraId="42FD0A4F"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4</w:t>
            </w:r>
          </w:p>
        </w:tc>
      </w:tr>
      <w:tr w:rsidR="00E910BF" w:rsidRPr="00365BF9" w14:paraId="62476297" w14:textId="77777777" w:rsidTr="007F7140">
        <w:trPr>
          <w:trHeight w:val="271"/>
          <w:jc w:val="center"/>
        </w:trPr>
        <w:tc>
          <w:tcPr>
            <w:tcW w:w="1271" w:type="dxa"/>
            <w:tcBorders>
              <w:top w:val="single" w:sz="4" w:space="0" w:color="auto"/>
              <w:left w:val="single" w:sz="4" w:space="0" w:color="auto"/>
              <w:bottom w:val="single" w:sz="4" w:space="0" w:color="auto"/>
              <w:right w:val="single" w:sz="4" w:space="0" w:color="auto"/>
            </w:tcBorders>
            <w:hideMark/>
          </w:tcPr>
          <w:p w14:paraId="7E92AF6B"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4</w:t>
            </w:r>
          </w:p>
        </w:tc>
        <w:tc>
          <w:tcPr>
            <w:tcW w:w="4394" w:type="dxa"/>
            <w:tcBorders>
              <w:top w:val="single" w:sz="4" w:space="0" w:color="auto"/>
              <w:left w:val="single" w:sz="4" w:space="0" w:color="auto"/>
              <w:bottom w:val="single" w:sz="4" w:space="0" w:color="auto"/>
              <w:right w:val="single" w:sz="4" w:space="0" w:color="auto"/>
            </w:tcBorders>
            <w:hideMark/>
          </w:tcPr>
          <w:p w14:paraId="5C609EEC"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14:paraId="01BD9D47"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5</w:t>
            </w:r>
          </w:p>
        </w:tc>
      </w:tr>
      <w:tr w:rsidR="00E910BF" w:rsidRPr="00365BF9" w14:paraId="4360BAE7" w14:textId="77777777" w:rsidTr="007F7140">
        <w:trPr>
          <w:trHeight w:val="271"/>
          <w:jc w:val="center"/>
        </w:trPr>
        <w:tc>
          <w:tcPr>
            <w:tcW w:w="1271" w:type="dxa"/>
            <w:tcBorders>
              <w:top w:val="single" w:sz="4" w:space="0" w:color="auto"/>
              <w:left w:val="single" w:sz="4" w:space="0" w:color="auto"/>
              <w:bottom w:val="single" w:sz="4" w:space="0" w:color="auto"/>
              <w:right w:val="single" w:sz="4" w:space="0" w:color="auto"/>
            </w:tcBorders>
            <w:hideMark/>
          </w:tcPr>
          <w:p w14:paraId="679E24BB"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5</w:t>
            </w:r>
          </w:p>
        </w:tc>
        <w:tc>
          <w:tcPr>
            <w:tcW w:w="4394" w:type="dxa"/>
            <w:tcBorders>
              <w:top w:val="single" w:sz="4" w:space="0" w:color="auto"/>
              <w:left w:val="single" w:sz="4" w:space="0" w:color="auto"/>
              <w:bottom w:val="single" w:sz="4" w:space="0" w:color="auto"/>
              <w:right w:val="single" w:sz="4" w:space="0" w:color="auto"/>
            </w:tcBorders>
            <w:hideMark/>
          </w:tcPr>
          <w:p w14:paraId="38F3FDAA"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w:t>
            </w:r>
          </w:p>
        </w:tc>
        <w:tc>
          <w:tcPr>
            <w:tcW w:w="2410" w:type="dxa"/>
            <w:tcBorders>
              <w:top w:val="single" w:sz="4" w:space="0" w:color="auto"/>
              <w:left w:val="single" w:sz="4" w:space="0" w:color="auto"/>
              <w:bottom w:val="single" w:sz="4" w:space="0" w:color="auto"/>
              <w:right w:val="single" w:sz="4" w:space="0" w:color="auto"/>
            </w:tcBorders>
            <w:hideMark/>
          </w:tcPr>
          <w:p w14:paraId="03573389"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6</w:t>
            </w:r>
          </w:p>
        </w:tc>
      </w:tr>
      <w:tr w:rsidR="00E910BF" w:rsidRPr="00365BF9" w14:paraId="564AAAD7" w14:textId="77777777" w:rsidTr="007F7140">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14:paraId="70EF093B"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6</w:t>
            </w:r>
          </w:p>
        </w:tc>
        <w:tc>
          <w:tcPr>
            <w:tcW w:w="4394" w:type="dxa"/>
            <w:tcBorders>
              <w:top w:val="single" w:sz="4" w:space="0" w:color="auto"/>
              <w:left w:val="single" w:sz="4" w:space="0" w:color="auto"/>
              <w:bottom w:val="single" w:sz="4" w:space="0" w:color="auto"/>
              <w:right w:val="single" w:sz="4" w:space="0" w:color="auto"/>
            </w:tcBorders>
            <w:hideMark/>
          </w:tcPr>
          <w:p w14:paraId="1D420A0E"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t-5</w:t>
            </w:r>
          </w:p>
        </w:tc>
        <w:tc>
          <w:tcPr>
            <w:tcW w:w="2410" w:type="dxa"/>
            <w:tcBorders>
              <w:top w:val="single" w:sz="4" w:space="0" w:color="auto"/>
              <w:left w:val="single" w:sz="4" w:space="0" w:color="auto"/>
              <w:bottom w:val="single" w:sz="4" w:space="0" w:color="auto"/>
              <w:right w:val="single" w:sz="4" w:space="0" w:color="auto"/>
            </w:tcBorders>
            <w:hideMark/>
          </w:tcPr>
          <w:p w14:paraId="09888B0A"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6 (ending at PRB t)</w:t>
            </w:r>
          </w:p>
        </w:tc>
      </w:tr>
      <w:tr w:rsidR="00E910BF" w:rsidRPr="00365BF9" w14:paraId="0F8760C5" w14:textId="77777777" w:rsidTr="007F7140">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14:paraId="0988DA64"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7</w:t>
            </w:r>
          </w:p>
        </w:tc>
        <w:tc>
          <w:tcPr>
            <w:tcW w:w="4394" w:type="dxa"/>
            <w:tcBorders>
              <w:top w:val="single" w:sz="4" w:space="0" w:color="auto"/>
              <w:left w:val="single" w:sz="4" w:space="0" w:color="auto"/>
              <w:bottom w:val="single" w:sz="4" w:space="0" w:color="auto"/>
              <w:right w:val="single" w:sz="4" w:space="0" w:color="auto"/>
            </w:tcBorders>
            <w:hideMark/>
          </w:tcPr>
          <w:p w14:paraId="622EF176"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t-4</w:t>
            </w:r>
          </w:p>
        </w:tc>
        <w:tc>
          <w:tcPr>
            <w:tcW w:w="2410" w:type="dxa"/>
            <w:tcBorders>
              <w:top w:val="single" w:sz="4" w:space="0" w:color="auto"/>
              <w:left w:val="single" w:sz="4" w:space="0" w:color="auto"/>
              <w:bottom w:val="single" w:sz="4" w:space="0" w:color="auto"/>
              <w:right w:val="single" w:sz="4" w:space="0" w:color="auto"/>
            </w:tcBorders>
            <w:hideMark/>
          </w:tcPr>
          <w:p w14:paraId="3DF2327B"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5 (ending at PRB t)</w:t>
            </w:r>
          </w:p>
        </w:tc>
      </w:tr>
      <w:tr w:rsidR="00E910BF" w:rsidRPr="00365BF9" w14:paraId="4DD555B8" w14:textId="77777777" w:rsidTr="007F7140">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14:paraId="57980F00"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8</w:t>
            </w:r>
          </w:p>
        </w:tc>
        <w:tc>
          <w:tcPr>
            <w:tcW w:w="4394" w:type="dxa"/>
            <w:tcBorders>
              <w:top w:val="single" w:sz="4" w:space="0" w:color="auto"/>
              <w:left w:val="single" w:sz="4" w:space="0" w:color="auto"/>
              <w:bottom w:val="single" w:sz="4" w:space="0" w:color="auto"/>
              <w:right w:val="single" w:sz="4" w:space="0" w:color="auto"/>
            </w:tcBorders>
            <w:hideMark/>
          </w:tcPr>
          <w:p w14:paraId="7F845DFE"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t-3</w:t>
            </w:r>
          </w:p>
        </w:tc>
        <w:tc>
          <w:tcPr>
            <w:tcW w:w="2410" w:type="dxa"/>
            <w:tcBorders>
              <w:top w:val="single" w:sz="4" w:space="0" w:color="auto"/>
              <w:left w:val="single" w:sz="4" w:space="0" w:color="auto"/>
              <w:bottom w:val="single" w:sz="4" w:space="0" w:color="auto"/>
              <w:right w:val="single" w:sz="4" w:space="0" w:color="auto"/>
            </w:tcBorders>
            <w:hideMark/>
          </w:tcPr>
          <w:p w14:paraId="1416E82A"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4 (ending at PRB t)</w:t>
            </w:r>
          </w:p>
        </w:tc>
      </w:tr>
      <w:tr w:rsidR="00E910BF" w:rsidRPr="00365BF9" w14:paraId="7E10F3FB" w14:textId="77777777" w:rsidTr="007F7140">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14:paraId="0C46521B"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9</w:t>
            </w:r>
          </w:p>
        </w:tc>
        <w:tc>
          <w:tcPr>
            <w:tcW w:w="4394" w:type="dxa"/>
            <w:tcBorders>
              <w:top w:val="single" w:sz="4" w:space="0" w:color="auto"/>
              <w:left w:val="single" w:sz="4" w:space="0" w:color="auto"/>
              <w:bottom w:val="single" w:sz="4" w:space="0" w:color="auto"/>
              <w:right w:val="single" w:sz="4" w:space="0" w:color="auto"/>
            </w:tcBorders>
            <w:hideMark/>
          </w:tcPr>
          <w:p w14:paraId="00C89C9F"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t-2</w:t>
            </w:r>
          </w:p>
        </w:tc>
        <w:tc>
          <w:tcPr>
            <w:tcW w:w="2410" w:type="dxa"/>
            <w:tcBorders>
              <w:top w:val="single" w:sz="4" w:space="0" w:color="auto"/>
              <w:left w:val="single" w:sz="4" w:space="0" w:color="auto"/>
              <w:bottom w:val="single" w:sz="4" w:space="0" w:color="auto"/>
              <w:right w:val="single" w:sz="4" w:space="0" w:color="auto"/>
            </w:tcBorders>
            <w:hideMark/>
          </w:tcPr>
          <w:p w14:paraId="2B2D25D4"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3 (ending at PRB t)</w:t>
            </w:r>
          </w:p>
        </w:tc>
      </w:tr>
      <w:tr w:rsidR="00E910BF" w:rsidRPr="00365BF9" w14:paraId="2A32942B" w14:textId="77777777" w:rsidTr="007F7140">
        <w:trPr>
          <w:trHeight w:val="408"/>
          <w:jc w:val="center"/>
        </w:trPr>
        <w:tc>
          <w:tcPr>
            <w:tcW w:w="1271" w:type="dxa"/>
            <w:tcBorders>
              <w:top w:val="single" w:sz="4" w:space="0" w:color="auto"/>
              <w:left w:val="single" w:sz="4" w:space="0" w:color="auto"/>
              <w:bottom w:val="single" w:sz="4" w:space="0" w:color="auto"/>
              <w:right w:val="single" w:sz="4" w:space="0" w:color="auto"/>
            </w:tcBorders>
            <w:hideMark/>
          </w:tcPr>
          <w:p w14:paraId="6B6CD1D7"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State 10</w:t>
            </w:r>
          </w:p>
        </w:tc>
        <w:tc>
          <w:tcPr>
            <w:tcW w:w="4394" w:type="dxa"/>
            <w:tcBorders>
              <w:top w:val="single" w:sz="4" w:space="0" w:color="auto"/>
              <w:left w:val="single" w:sz="4" w:space="0" w:color="auto"/>
              <w:bottom w:val="single" w:sz="4" w:space="0" w:color="auto"/>
              <w:right w:val="single" w:sz="4" w:space="0" w:color="auto"/>
            </w:tcBorders>
            <w:hideMark/>
          </w:tcPr>
          <w:p w14:paraId="48BB0BAF"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t-1</w:t>
            </w:r>
          </w:p>
        </w:tc>
        <w:tc>
          <w:tcPr>
            <w:tcW w:w="2410" w:type="dxa"/>
            <w:tcBorders>
              <w:top w:val="single" w:sz="4" w:space="0" w:color="auto"/>
              <w:left w:val="single" w:sz="4" w:space="0" w:color="auto"/>
              <w:bottom w:val="single" w:sz="4" w:space="0" w:color="auto"/>
              <w:right w:val="single" w:sz="4" w:space="0" w:color="auto"/>
            </w:tcBorders>
            <w:hideMark/>
          </w:tcPr>
          <w:p w14:paraId="4ABC05AD"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2 (ending at PRB t)</w:t>
            </w:r>
          </w:p>
        </w:tc>
      </w:tr>
    </w:tbl>
    <w:p w14:paraId="716AF2AF" w14:textId="77777777" w:rsidR="00E910BF" w:rsidRPr="00365BF9" w:rsidRDefault="00E910BF" w:rsidP="007F7140">
      <w:pPr>
        <w:spacing w:after="0"/>
        <w:ind w:left="360"/>
        <w:rPr>
          <w:rFonts w:ascii="Arial" w:hAnsi="Arial" w:cs="Arial"/>
        </w:rPr>
      </w:pPr>
    </w:p>
    <w:p w14:paraId="2EED2534" w14:textId="0FD61630" w:rsidR="00E910BF" w:rsidRPr="00365BF9" w:rsidRDefault="00E910BF" w:rsidP="007F7140">
      <w:pPr>
        <w:numPr>
          <w:ilvl w:val="0"/>
          <w:numId w:val="23"/>
        </w:numPr>
        <w:tabs>
          <w:tab w:val="clear" w:pos="720"/>
          <w:tab w:val="num" w:pos="1080"/>
        </w:tabs>
        <w:spacing w:after="0"/>
        <w:ind w:left="1080"/>
        <w:rPr>
          <w:rFonts w:ascii="Arial" w:hAnsi="Arial" w:cs="Arial"/>
          <w:bCs/>
          <w:iCs/>
        </w:rPr>
      </w:pPr>
      <w:r w:rsidRPr="00365BF9">
        <w:rPr>
          <w:rFonts w:ascii="Arial" w:hAnsi="Arial" w:cs="Arial"/>
          <w:bCs/>
          <w:iCs/>
        </w:rPr>
        <w:t>For PDSCH in CE mode B, introduce 1 bit in UE-specific RRC signaling to enable the shift of narrowband to align with RBG. The shift of narrowband depends on the system bandwidth and the allocated narrowband.</w:t>
      </w:r>
    </w:p>
    <w:p w14:paraId="5AB8F8A8" w14:textId="1800C466" w:rsidR="00E910BF" w:rsidRPr="00365BF9" w:rsidRDefault="00E910BF" w:rsidP="007F7140">
      <w:pPr>
        <w:numPr>
          <w:ilvl w:val="0"/>
          <w:numId w:val="23"/>
        </w:numPr>
        <w:tabs>
          <w:tab w:val="clear" w:pos="720"/>
          <w:tab w:val="num" w:pos="1080"/>
        </w:tabs>
        <w:spacing w:after="0"/>
        <w:ind w:left="1080"/>
        <w:rPr>
          <w:rFonts w:ascii="Arial" w:hAnsi="Arial" w:cs="Arial"/>
          <w:bCs/>
          <w:iCs/>
        </w:rPr>
      </w:pPr>
      <w:r w:rsidRPr="00365BF9">
        <w:rPr>
          <w:rFonts w:ascii="Arial" w:hAnsi="Arial" w:cs="Arial"/>
        </w:rPr>
        <w:t>The following shift of narrow band is used for PDSCH re</w:t>
      </w:r>
      <w:r w:rsidR="00AB5A11">
        <w:rPr>
          <w:rFonts w:ascii="Arial" w:hAnsi="Arial" w:cs="Arial"/>
        </w:rPr>
        <w:t>source allocation in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4054"/>
      </w:tblGrid>
      <w:tr w:rsidR="00E910BF" w:rsidRPr="00365BF9" w14:paraId="623C3194" w14:textId="77777777" w:rsidTr="007F7140">
        <w:trPr>
          <w:jc w:val="center"/>
        </w:trPr>
        <w:tc>
          <w:tcPr>
            <w:tcW w:w="1501" w:type="dxa"/>
            <w:tcBorders>
              <w:top w:val="single" w:sz="4" w:space="0" w:color="auto"/>
              <w:left w:val="single" w:sz="4" w:space="0" w:color="auto"/>
              <w:bottom w:val="single" w:sz="4" w:space="0" w:color="auto"/>
              <w:right w:val="single" w:sz="4" w:space="0" w:color="auto"/>
            </w:tcBorders>
            <w:hideMark/>
          </w:tcPr>
          <w:p w14:paraId="05282ACA"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1.4MHz</w:t>
            </w:r>
          </w:p>
        </w:tc>
        <w:tc>
          <w:tcPr>
            <w:tcW w:w="4054" w:type="dxa"/>
            <w:tcBorders>
              <w:top w:val="single" w:sz="4" w:space="0" w:color="auto"/>
              <w:left w:val="single" w:sz="4" w:space="0" w:color="auto"/>
              <w:bottom w:val="single" w:sz="4" w:space="0" w:color="auto"/>
              <w:right w:val="single" w:sz="4" w:space="0" w:color="auto"/>
            </w:tcBorders>
            <w:hideMark/>
          </w:tcPr>
          <w:p w14:paraId="70FE2E1E"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No shift</w:t>
            </w:r>
          </w:p>
        </w:tc>
      </w:tr>
      <w:tr w:rsidR="00E910BF" w:rsidRPr="00365BF9" w14:paraId="6CFDED78" w14:textId="77777777" w:rsidTr="007F7140">
        <w:trPr>
          <w:jc w:val="center"/>
        </w:trPr>
        <w:tc>
          <w:tcPr>
            <w:tcW w:w="1501" w:type="dxa"/>
            <w:tcBorders>
              <w:top w:val="single" w:sz="4" w:space="0" w:color="auto"/>
              <w:left w:val="single" w:sz="4" w:space="0" w:color="auto"/>
              <w:bottom w:val="single" w:sz="4" w:space="0" w:color="auto"/>
              <w:right w:val="single" w:sz="4" w:space="0" w:color="auto"/>
            </w:tcBorders>
            <w:hideMark/>
          </w:tcPr>
          <w:p w14:paraId="3A46DE32"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3MHz</w:t>
            </w:r>
          </w:p>
        </w:tc>
        <w:tc>
          <w:tcPr>
            <w:tcW w:w="4054" w:type="dxa"/>
            <w:tcBorders>
              <w:top w:val="single" w:sz="4" w:space="0" w:color="auto"/>
              <w:left w:val="single" w:sz="4" w:space="0" w:color="auto"/>
              <w:bottom w:val="single" w:sz="4" w:space="0" w:color="auto"/>
              <w:right w:val="single" w:sz="4" w:space="0" w:color="auto"/>
            </w:tcBorders>
          </w:tcPr>
          <w:p w14:paraId="4BC6FF6D"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-1 PRB for NB {#0};</w:t>
            </w:r>
          </w:p>
          <w:p w14:paraId="2C41DB94"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No shift for NB {#1}.</w:t>
            </w:r>
          </w:p>
          <w:p w14:paraId="75919494" w14:textId="77777777" w:rsidR="00E910BF" w:rsidRPr="00365BF9" w:rsidRDefault="00E910BF" w:rsidP="00CC3BAC">
            <w:pPr>
              <w:keepNext/>
              <w:keepLines/>
              <w:spacing w:after="0" w:line="257" w:lineRule="auto"/>
              <w:rPr>
                <w:rFonts w:ascii="Arial" w:hAnsi="Arial" w:cs="Arial"/>
              </w:rPr>
            </w:pPr>
          </w:p>
        </w:tc>
      </w:tr>
      <w:tr w:rsidR="00E910BF" w:rsidRPr="00365BF9" w14:paraId="26E1E246" w14:textId="77777777" w:rsidTr="007F7140">
        <w:trPr>
          <w:jc w:val="center"/>
        </w:trPr>
        <w:tc>
          <w:tcPr>
            <w:tcW w:w="1501" w:type="dxa"/>
            <w:tcBorders>
              <w:top w:val="single" w:sz="4" w:space="0" w:color="auto"/>
              <w:left w:val="single" w:sz="4" w:space="0" w:color="auto"/>
              <w:bottom w:val="single" w:sz="4" w:space="0" w:color="auto"/>
              <w:right w:val="single" w:sz="4" w:space="0" w:color="auto"/>
            </w:tcBorders>
            <w:hideMark/>
          </w:tcPr>
          <w:p w14:paraId="648C1099"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5MHz</w:t>
            </w:r>
          </w:p>
        </w:tc>
        <w:tc>
          <w:tcPr>
            <w:tcW w:w="4054" w:type="dxa"/>
            <w:tcBorders>
              <w:top w:val="single" w:sz="4" w:space="0" w:color="auto"/>
              <w:left w:val="single" w:sz="4" w:space="0" w:color="auto"/>
              <w:bottom w:val="single" w:sz="4" w:space="0" w:color="auto"/>
              <w:right w:val="single" w:sz="4" w:space="0" w:color="auto"/>
            </w:tcBorders>
            <w:hideMark/>
          </w:tcPr>
          <w:p w14:paraId="6C65AF19"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No shift for NB {#0, #1};</w:t>
            </w:r>
          </w:p>
          <w:p w14:paraId="13FB330B"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- 1</w:t>
            </w:r>
            <w:proofErr w:type="gramStart"/>
            <w:r w:rsidRPr="00365BF9">
              <w:rPr>
                <w:rFonts w:ascii="Arial" w:hAnsi="Arial" w:cs="Arial"/>
              </w:rPr>
              <w:t>PRB  for</w:t>
            </w:r>
            <w:proofErr w:type="gramEnd"/>
            <w:r w:rsidRPr="00365BF9">
              <w:rPr>
                <w:rFonts w:ascii="Arial" w:hAnsi="Arial" w:cs="Arial"/>
              </w:rPr>
              <w:t xml:space="preserve"> NB {#2,#3}.</w:t>
            </w:r>
          </w:p>
        </w:tc>
      </w:tr>
      <w:tr w:rsidR="00E910BF" w:rsidRPr="00365BF9" w14:paraId="0ED7AAD5" w14:textId="77777777" w:rsidTr="007F7140">
        <w:trPr>
          <w:jc w:val="center"/>
        </w:trPr>
        <w:tc>
          <w:tcPr>
            <w:tcW w:w="1501" w:type="dxa"/>
            <w:tcBorders>
              <w:top w:val="single" w:sz="4" w:space="0" w:color="auto"/>
              <w:left w:val="single" w:sz="4" w:space="0" w:color="auto"/>
              <w:bottom w:val="single" w:sz="4" w:space="0" w:color="auto"/>
              <w:right w:val="single" w:sz="4" w:space="0" w:color="auto"/>
            </w:tcBorders>
            <w:hideMark/>
          </w:tcPr>
          <w:p w14:paraId="42B25086"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10MHz</w:t>
            </w:r>
          </w:p>
        </w:tc>
        <w:tc>
          <w:tcPr>
            <w:tcW w:w="4054" w:type="dxa"/>
            <w:tcBorders>
              <w:top w:val="single" w:sz="4" w:space="0" w:color="auto"/>
              <w:left w:val="single" w:sz="4" w:space="0" w:color="auto"/>
              <w:bottom w:val="single" w:sz="4" w:space="0" w:color="auto"/>
              <w:right w:val="single" w:sz="4" w:space="0" w:color="auto"/>
            </w:tcBorders>
            <w:hideMark/>
          </w:tcPr>
          <w:p w14:paraId="4DC80E41"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 xml:space="preserve">- 1 </w:t>
            </w:r>
            <w:proofErr w:type="gramStart"/>
            <w:r w:rsidRPr="00365BF9">
              <w:rPr>
                <w:rFonts w:ascii="Arial" w:hAnsi="Arial" w:cs="Arial"/>
              </w:rPr>
              <w:t>PRB  for</w:t>
            </w:r>
            <w:proofErr w:type="gramEnd"/>
            <w:r w:rsidRPr="00365BF9">
              <w:rPr>
                <w:rFonts w:ascii="Arial" w:hAnsi="Arial" w:cs="Arial"/>
              </w:rPr>
              <w:t xml:space="preserve"> all NB.</w:t>
            </w:r>
          </w:p>
        </w:tc>
      </w:tr>
      <w:tr w:rsidR="00E910BF" w:rsidRPr="00365BF9" w14:paraId="74B80BF7" w14:textId="77777777" w:rsidTr="007F7140">
        <w:trPr>
          <w:jc w:val="center"/>
        </w:trPr>
        <w:tc>
          <w:tcPr>
            <w:tcW w:w="1501" w:type="dxa"/>
            <w:tcBorders>
              <w:top w:val="single" w:sz="4" w:space="0" w:color="auto"/>
              <w:left w:val="single" w:sz="4" w:space="0" w:color="auto"/>
              <w:bottom w:val="single" w:sz="4" w:space="0" w:color="auto"/>
              <w:right w:val="single" w:sz="4" w:space="0" w:color="auto"/>
            </w:tcBorders>
          </w:tcPr>
          <w:p w14:paraId="02C17158"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15MHz</w:t>
            </w:r>
          </w:p>
          <w:p w14:paraId="5225E6C7" w14:textId="77777777" w:rsidR="00E910BF" w:rsidRPr="00365BF9" w:rsidRDefault="00E910BF" w:rsidP="00CC3BAC">
            <w:pPr>
              <w:keepNext/>
              <w:keepLines/>
              <w:spacing w:after="0" w:line="257" w:lineRule="auto"/>
              <w:rPr>
                <w:rFonts w:ascii="Arial" w:hAnsi="Arial" w:cs="Arial"/>
              </w:rPr>
            </w:pPr>
          </w:p>
        </w:tc>
        <w:tc>
          <w:tcPr>
            <w:tcW w:w="4054" w:type="dxa"/>
            <w:tcBorders>
              <w:top w:val="single" w:sz="4" w:space="0" w:color="auto"/>
              <w:left w:val="single" w:sz="4" w:space="0" w:color="auto"/>
              <w:bottom w:val="single" w:sz="4" w:space="0" w:color="auto"/>
              <w:right w:val="single" w:sz="4" w:space="0" w:color="auto"/>
            </w:tcBorders>
            <w:hideMark/>
          </w:tcPr>
          <w:p w14:paraId="131347C6"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-1 PRB for NB {#0, #</w:t>
            </w:r>
            <w:proofErr w:type="gramStart"/>
            <w:r w:rsidRPr="00365BF9">
              <w:rPr>
                <w:rFonts w:ascii="Arial" w:hAnsi="Arial" w:cs="Arial"/>
              </w:rPr>
              <w:t>1,…</w:t>
            </w:r>
            <w:proofErr w:type="gramEnd"/>
            <w:r w:rsidRPr="00365BF9">
              <w:rPr>
                <w:rFonts w:ascii="Arial" w:hAnsi="Arial" w:cs="Arial"/>
              </w:rPr>
              <w:t>, #5};</w:t>
            </w:r>
          </w:p>
          <w:p w14:paraId="65B53B7D"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No shift for NB {#6, #</w:t>
            </w:r>
            <w:proofErr w:type="gramStart"/>
            <w:r w:rsidRPr="00365BF9">
              <w:rPr>
                <w:rFonts w:ascii="Arial" w:hAnsi="Arial" w:cs="Arial"/>
              </w:rPr>
              <w:t>7,…</w:t>
            </w:r>
            <w:proofErr w:type="gramEnd"/>
            <w:r w:rsidRPr="00365BF9">
              <w:rPr>
                <w:rFonts w:ascii="Arial" w:hAnsi="Arial" w:cs="Arial"/>
              </w:rPr>
              <w:t>, #11}</w:t>
            </w:r>
          </w:p>
        </w:tc>
      </w:tr>
      <w:tr w:rsidR="00E910BF" w:rsidRPr="00365BF9" w14:paraId="358E759B" w14:textId="77777777" w:rsidTr="007F7140">
        <w:trPr>
          <w:jc w:val="center"/>
        </w:trPr>
        <w:tc>
          <w:tcPr>
            <w:tcW w:w="1501" w:type="dxa"/>
            <w:tcBorders>
              <w:top w:val="single" w:sz="4" w:space="0" w:color="auto"/>
              <w:left w:val="single" w:sz="4" w:space="0" w:color="auto"/>
              <w:bottom w:val="single" w:sz="4" w:space="0" w:color="auto"/>
              <w:right w:val="single" w:sz="4" w:space="0" w:color="auto"/>
            </w:tcBorders>
            <w:hideMark/>
          </w:tcPr>
          <w:p w14:paraId="53AFEF9A"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20MHz</w:t>
            </w:r>
          </w:p>
        </w:tc>
        <w:tc>
          <w:tcPr>
            <w:tcW w:w="4054" w:type="dxa"/>
            <w:tcBorders>
              <w:top w:val="single" w:sz="4" w:space="0" w:color="auto"/>
              <w:left w:val="single" w:sz="4" w:space="0" w:color="auto"/>
              <w:bottom w:val="single" w:sz="4" w:space="0" w:color="auto"/>
              <w:right w:val="single" w:sz="4" w:space="0" w:color="auto"/>
            </w:tcBorders>
            <w:hideMark/>
          </w:tcPr>
          <w:p w14:paraId="1F87BDF0" w14:textId="77777777" w:rsidR="00E910BF" w:rsidRPr="00365BF9" w:rsidRDefault="00E910BF" w:rsidP="00CC3BAC">
            <w:pPr>
              <w:keepNext/>
              <w:keepLines/>
              <w:spacing w:after="0" w:line="257" w:lineRule="auto"/>
              <w:rPr>
                <w:rFonts w:ascii="Arial" w:hAnsi="Arial" w:cs="Arial"/>
              </w:rPr>
            </w:pPr>
            <w:r w:rsidRPr="00365BF9">
              <w:rPr>
                <w:rFonts w:ascii="Arial" w:hAnsi="Arial" w:cs="Arial"/>
              </w:rPr>
              <w:t>-2PRB for all NB.</w:t>
            </w:r>
          </w:p>
        </w:tc>
      </w:tr>
    </w:tbl>
    <w:p w14:paraId="354297D9" w14:textId="77777777" w:rsidR="00E910BF" w:rsidRPr="00365BF9" w:rsidRDefault="00E910BF" w:rsidP="007F7140">
      <w:pPr>
        <w:spacing w:after="0"/>
        <w:ind w:left="360"/>
        <w:rPr>
          <w:rFonts w:ascii="Arial" w:hAnsi="Arial" w:cs="Arial"/>
        </w:rPr>
      </w:pPr>
    </w:p>
    <w:p w14:paraId="56C81FD2" w14:textId="5A75A932" w:rsidR="00E910BF" w:rsidRPr="00365BF9" w:rsidRDefault="00E910BF" w:rsidP="007F7140">
      <w:pPr>
        <w:numPr>
          <w:ilvl w:val="0"/>
          <w:numId w:val="23"/>
        </w:numPr>
        <w:tabs>
          <w:tab w:val="clear" w:pos="720"/>
          <w:tab w:val="num" w:pos="1080"/>
        </w:tabs>
        <w:spacing w:after="0"/>
        <w:ind w:left="1080"/>
        <w:rPr>
          <w:rFonts w:ascii="Arial" w:hAnsi="Arial" w:cs="Arial"/>
          <w:bCs/>
          <w:iCs/>
        </w:rPr>
      </w:pPr>
      <w:r w:rsidRPr="00365BF9">
        <w:rPr>
          <w:rFonts w:ascii="Arial" w:hAnsi="Arial" w:cs="Arial"/>
          <w:bCs/>
          <w:iCs/>
        </w:rPr>
        <w:t>For PUSCH in CE mode A, use DCI to provide more flexible resource allocation for PUSCH.</w:t>
      </w:r>
    </w:p>
    <w:p w14:paraId="120D1CA5" w14:textId="1D82BADE" w:rsidR="00E910BF" w:rsidRPr="007F7140" w:rsidRDefault="00E910BF" w:rsidP="007F7140">
      <w:pPr>
        <w:numPr>
          <w:ilvl w:val="0"/>
          <w:numId w:val="23"/>
        </w:numPr>
        <w:tabs>
          <w:tab w:val="clear" w:pos="720"/>
          <w:tab w:val="num" w:pos="1080"/>
        </w:tabs>
        <w:spacing w:after="0"/>
        <w:ind w:left="1080"/>
        <w:rPr>
          <w:rFonts w:ascii="Arial" w:hAnsi="Arial" w:cs="Arial"/>
        </w:rPr>
      </w:pPr>
      <w:r w:rsidRPr="00365BF9">
        <w:rPr>
          <w:rFonts w:ascii="Arial" w:hAnsi="Arial" w:cs="Arial"/>
        </w:rPr>
        <w:t>For PUSCH in CE mode A and for the case where DL system BW and UL system BW is the same, use resource allocation type 2 with startin</w:t>
      </w:r>
      <w:r w:rsidR="00E637D7">
        <w:rPr>
          <w:rFonts w:ascii="Arial" w:hAnsi="Arial" w:cs="Arial"/>
        </w:rPr>
        <w:t>g PRB within the full system BW</w:t>
      </w:r>
    </w:p>
    <w:p w14:paraId="45BD59D1" w14:textId="36DFDE8C" w:rsidR="00E910BF" w:rsidRPr="007F7140" w:rsidRDefault="00E910BF" w:rsidP="007F7140">
      <w:pPr>
        <w:numPr>
          <w:ilvl w:val="0"/>
          <w:numId w:val="23"/>
        </w:numPr>
        <w:tabs>
          <w:tab w:val="clear" w:pos="720"/>
          <w:tab w:val="num" w:pos="1080"/>
        </w:tabs>
        <w:spacing w:after="0"/>
        <w:ind w:left="1080"/>
        <w:rPr>
          <w:rFonts w:ascii="Arial" w:hAnsi="Arial" w:cs="Arial"/>
        </w:rPr>
      </w:pPr>
      <w:r w:rsidRPr="00365BF9">
        <w:rPr>
          <w:rFonts w:ascii="Arial" w:hAnsi="Arial" w:cs="Arial"/>
          <w:bCs/>
          <w:iCs/>
        </w:rPr>
        <w:t>For PUSCH in CE mode B, adjust the starting PRB based on the resource allocation type 2 for 2 PRBs by {-1, 1, 2, 3} PRBs towards higher PRB index via RRC signaling.</w:t>
      </w:r>
    </w:p>
    <w:p w14:paraId="0C2B7E85" w14:textId="77777777" w:rsidR="00E910BF" w:rsidRPr="00365BF9" w:rsidRDefault="00E910BF" w:rsidP="007F7140">
      <w:pPr>
        <w:numPr>
          <w:ilvl w:val="0"/>
          <w:numId w:val="23"/>
        </w:numPr>
        <w:tabs>
          <w:tab w:val="clear" w:pos="720"/>
          <w:tab w:val="num" w:pos="1080"/>
        </w:tabs>
        <w:spacing w:after="0"/>
        <w:ind w:left="1080"/>
        <w:rPr>
          <w:rFonts w:ascii="Arial" w:hAnsi="Arial" w:cs="Arial"/>
        </w:rPr>
      </w:pPr>
      <w:r w:rsidRPr="00365BF9">
        <w:rPr>
          <w:rFonts w:ascii="Arial" w:hAnsi="Arial" w:cs="Arial"/>
          <w:bCs/>
          <w:iCs/>
        </w:rPr>
        <w:t>Flexible starting PUSCH PRB for BL/CE UE configured with 5 MHz max PUSCH channel bandwidth is not considered further in Rel-15.</w:t>
      </w:r>
    </w:p>
    <w:p w14:paraId="7BA174C0" w14:textId="77777777" w:rsidR="00E910BF" w:rsidRDefault="00E910BF" w:rsidP="007F7140">
      <w:pPr>
        <w:ind w:left="360"/>
      </w:pPr>
    </w:p>
    <w:p w14:paraId="7C08F20B" w14:textId="77777777" w:rsidR="00E910BF" w:rsidRDefault="00E910BF" w:rsidP="007F7140">
      <w:pPr>
        <w:tabs>
          <w:tab w:val="left" w:pos="567"/>
        </w:tabs>
        <w:snapToGrid w:val="0"/>
        <w:spacing w:after="0"/>
        <w:ind w:left="360"/>
        <w:rPr>
          <w:rFonts w:ascii="Arial" w:hAnsi="Arial" w:cs="Arial"/>
        </w:rPr>
      </w:pPr>
      <w:r w:rsidRPr="007F7140">
        <w:rPr>
          <w:rFonts w:ascii="Arial" w:hAnsi="Arial" w:cs="Arial"/>
          <w:b/>
        </w:rPr>
        <w:t>RAN2#102</w:t>
      </w:r>
      <w:r>
        <w:rPr>
          <w:rFonts w:ascii="Arial" w:hAnsi="Arial" w:cs="Arial"/>
        </w:rPr>
        <w:t xml:space="preserve"> discussed </w:t>
      </w:r>
      <w:r>
        <w:rPr>
          <w:rFonts w:ascii="Arial" w:hAnsi="Arial" w:cs="Arial"/>
          <w:b/>
        </w:rPr>
        <w:t>flexible starting PRB for PDSCH/PUSCH</w:t>
      </w:r>
      <w:r>
        <w:rPr>
          <w:rFonts w:ascii="Arial" w:hAnsi="Arial" w:cs="Arial"/>
        </w:rPr>
        <w:t xml:space="preserve"> and made following agreements</w:t>
      </w:r>
      <w:r>
        <w:rPr>
          <w:rFonts w:ascii="Arial" w:eastAsia="MS Mincho" w:hAnsi="Arial" w:cs="Arial"/>
          <w:iCs/>
        </w:rPr>
        <w:t>:</w:t>
      </w:r>
    </w:p>
    <w:p w14:paraId="7E3A796B" w14:textId="77777777" w:rsidR="00E910BF" w:rsidRDefault="00E910BF" w:rsidP="007F7140">
      <w:pPr>
        <w:spacing w:after="0"/>
        <w:ind w:left="360"/>
        <w:rPr>
          <w:rFonts w:ascii="Arial" w:hAnsi="Arial" w:cs="Arial"/>
          <w:bCs/>
        </w:rPr>
      </w:pPr>
    </w:p>
    <w:p w14:paraId="2450ED97" w14:textId="77777777" w:rsidR="00E910BF" w:rsidRDefault="00E910BF" w:rsidP="007F7140">
      <w:pPr>
        <w:numPr>
          <w:ilvl w:val="0"/>
          <w:numId w:val="23"/>
        </w:numPr>
        <w:tabs>
          <w:tab w:val="clear" w:pos="720"/>
          <w:tab w:val="num" w:pos="1080"/>
        </w:tabs>
        <w:spacing w:after="0"/>
        <w:ind w:left="1080"/>
        <w:rPr>
          <w:rFonts w:ascii="Arial" w:hAnsi="Arial" w:cs="Arial"/>
          <w:bCs/>
        </w:rPr>
      </w:pPr>
      <w:r>
        <w:rPr>
          <w:rFonts w:ascii="Arial" w:hAnsi="Arial" w:cs="Arial"/>
          <w:bCs/>
        </w:rPr>
        <w:t xml:space="preserve">For PDSCH in CE mode A, dedicated RRC </w:t>
      </w:r>
      <w:proofErr w:type="spellStart"/>
      <w:r>
        <w:rPr>
          <w:rFonts w:ascii="Arial" w:hAnsi="Arial" w:cs="Arial"/>
          <w:bCs/>
        </w:rPr>
        <w:t>signalling</w:t>
      </w:r>
      <w:proofErr w:type="spellEnd"/>
      <w:r>
        <w:rPr>
          <w:rFonts w:ascii="Arial" w:hAnsi="Arial" w:cs="Arial"/>
          <w:bCs/>
        </w:rPr>
        <w:t xml:space="preserve"> is used to indicate to the UE if the DCI should be interpreted as using flexible starting PRB or not.</w:t>
      </w:r>
    </w:p>
    <w:p w14:paraId="4FB78D1A" w14:textId="77777777" w:rsidR="00E910BF" w:rsidRDefault="00E910BF" w:rsidP="007F7140">
      <w:pPr>
        <w:numPr>
          <w:ilvl w:val="0"/>
          <w:numId w:val="23"/>
        </w:numPr>
        <w:tabs>
          <w:tab w:val="clear" w:pos="720"/>
          <w:tab w:val="num" w:pos="1080"/>
        </w:tabs>
        <w:spacing w:after="0"/>
        <w:ind w:left="1080"/>
        <w:rPr>
          <w:rFonts w:ascii="Arial" w:hAnsi="Arial" w:cs="Arial"/>
          <w:bCs/>
        </w:rPr>
      </w:pPr>
      <w:r>
        <w:rPr>
          <w:rFonts w:ascii="Arial" w:hAnsi="Arial" w:cs="Arial"/>
          <w:bCs/>
        </w:rPr>
        <w:t xml:space="preserve">For PDSCH in CE mode B, 1 bit in dedicated RRC </w:t>
      </w:r>
      <w:proofErr w:type="spellStart"/>
      <w:r>
        <w:rPr>
          <w:rFonts w:ascii="Arial" w:hAnsi="Arial" w:cs="Arial"/>
          <w:bCs/>
        </w:rPr>
        <w:t>signalling</w:t>
      </w:r>
      <w:proofErr w:type="spellEnd"/>
      <w:r>
        <w:rPr>
          <w:rFonts w:ascii="Arial" w:hAnsi="Arial" w:cs="Arial"/>
          <w:bCs/>
        </w:rPr>
        <w:t xml:space="preserve"> is used to indicate if flexible starting PRB should be applied and the PRB start positing aligned to RBGs.</w:t>
      </w:r>
    </w:p>
    <w:p w14:paraId="4FACF0B7" w14:textId="77777777" w:rsidR="00E910BF" w:rsidRDefault="00E910BF" w:rsidP="007F7140">
      <w:pPr>
        <w:numPr>
          <w:ilvl w:val="0"/>
          <w:numId w:val="23"/>
        </w:numPr>
        <w:tabs>
          <w:tab w:val="clear" w:pos="720"/>
          <w:tab w:val="num" w:pos="1080"/>
        </w:tabs>
        <w:spacing w:after="0"/>
        <w:ind w:left="1080"/>
        <w:rPr>
          <w:rFonts w:ascii="Arial" w:hAnsi="Arial" w:cs="Arial"/>
          <w:bCs/>
        </w:rPr>
      </w:pPr>
      <w:r>
        <w:rPr>
          <w:rFonts w:ascii="Arial" w:hAnsi="Arial" w:cs="Arial"/>
          <w:bCs/>
        </w:rPr>
        <w:lastRenderedPageBreak/>
        <w:t xml:space="preserve">For PUSCH in CE mode A, dedicated RRC </w:t>
      </w:r>
      <w:proofErr w:type="spellStart"/>
      <w:r>
        <w:rPr>
          <w:rFonts w:ascii="Arial" w:hAnsi="Arial" w:cs="Arial"/>
          <w:bCs/>
        </w:rPr>
        <w:t>signalling</w:t>
      </w:r>
      <w:proofErr w:type="spellEnd"/>
      <w:r>
        <w:rPr>
          <w:rFonts w:ascii="Arial" w:hAnsi="Arial" w:cs="Arial"/>
          <w:bCs/>
        </w:rPr>
        <w:t xml:space="preserve"> is used to indicate to the UE if the DCI should be interpreted as using flexible starting PRB or not.</w:t>
      </w:r>
    </w:p>
    <w:p w14:paraId="389B8741" w14:textId="77777777" w:rsidR="00E910BF" w:rsidRDefault="00E910BF" w:rsidP="007F7140">
      <w:pPr>
        <w:numPr>
          <w:ilvl w:val="0"/>
          <w:numId w:val="23"/>
        </w:numPr>
        <w:tabs>
          <w:tab w:val="clear" w:pos="720"/>
          <w:tab w:val="num" w:pos="1080"/>
        </w:tabs>
        <w:spacing w:after="0"/>
        <w:ind w:left="1080"/>
        <w:rPr>
          <w:rFonts w:ascii="Arial" w:hAnsi="Arial" w:cs="Arial"/>
          <w:bCs/>
        </w:rPr>
      </w:pPr>
      <w:r>
        <w:rPr>
          <w:rFonts w:ascii="Arial" w:hAnsi="Arial" w:cs="Arial"/>
          <w:bCs/>
        </w:rPr>
        <w:t xml:space="preserve">For PUSCH in CE mode B, 2 bits in dedicated RRC </w:t>
      </w:r>
      <w:proofErr w:type="spellStart"/>
      <w:r>
        <w:rPr>
          <w:rFonts w:ascii="Arial" w:hAnsi="Arial" w:cs="Arial"/>
          <w:bCs/>
        </w:rPr>
        <w:t>signalling</w:t>
      </w:r>
      <w:proofErr w:type="spellEnd"/>
      <w:r>
        <w:rPr>
          <w:rFonts w:ascii="Arial" w:hAnsi="Arial" w:cs="Arial"/>
          <w:bCs/>
        </w:rPr>
        <w:t xml:space="preserve"> is used to indicate the magnitude of the PRB shift for flexible starting PRB.</w:t>
      </w:r>
    </w:p>
    <w:p w14:paraId="41A09C3C" w14:textId="17D72F1D" w:rsidR="00E910BF" w:rsidRDefault="00E910BF" w:rsidP="007F7140">
      <w:pPr>
        <w:numPr>
          <w:ilvl w:val="0"/>
          <w:numId w:val="23"/>
        </w:numPr>
        <w:tabs>
          <w:tab w:val="clear" w:pos="720"/>
          <w:tab w:val="num" w:pos="1080"/>
        </w:tabs>
        <w:spacing w:after="0"/>
        <w:ind w:left="1080"/>
        <w:rPr>
          <w:rFonts w:ascii="Arial" w:hAnsi="Arial" w:cs="Arial"/>
          <w:bCs/>
        </w:rPr>
      </w:pPr>
      <w:r>
        <w:rPr>
          <w:rFonts w:ascii="Arial" w:hAnsi="Arial" w:cs="Arial"/>
          <w:bCs/>
        </w:rPr>
        <w:t>2 UE capabilities for flexible starting PRB are introduced: CE mode A and CE mode B.</w:t>
      </w:r>
    </w:p>
    <w:p w14:paraId="353719B1" w14:textId="39C9F043" w:rsidR="008F221E" w:rsidRDefault="008F221E" w:rsidP="007F7140">
      <w:pPr>
        <w:spacing w:after="0"/>
        <w:ind w:left="360"/>
        <w:rPr>
          <w:rFonts w:ascii="Arial" w:hAnsi="Arial" w:cs="Arial"/>
          <w:bCs/>
        </w:rPr>
      </w:pPr>
    </w:p>
    <w:p w14:paraId="13131A07" w14:textId="06F2488D" w:rsidR="008F221E" w:rsidRDefault="008F221E" w:rsidP="007F7140">
      <w:pPr>
        <w:spacing w:after="0"/>
        <w:ind w:left="360"/>
        <w:rPr>
          <w:rFonts w:ascii="Arial" w:hAnsi="Arial" w:cs="Arial"/>
          <w:bCs/>
        </w:rPr>
      </w:pPr>
      <w:r>
        <w:rPr>
          <w:rFonts w:ascii="Arial" w:hAnsi="Arial" w:cs="Arial"/>
          <w:bCs/>
        </w:rPr>
        <w:t xml:space="preserve">In this contribution </w:t>
      </w:r>
      <w:r w:rsidR="00A53266">
        <w:rPr>
          <w:rFonts w:ascii="Arial" w:hAnsi="Arial" w:cs="Arial"/>
          <w:bCs/>
        </w:rPr>
        <w:t xml:space="preserve">a summary of the functionality is presented, and some </w:t>
      </w:r>
      <w:r>
        <w:rPr>
          <w:rFonts w:ascii="Arial" w:hAnsi="Arial" w:cs="Arial"/>
          <w:bCs/>
        </w:rPr>
        <w:t>updates to the current specification texts on the topic is proposed.</w:t>
      </w:r>
    </w:p>
    <w:p w14:paraId="4636DE64" w14:textId="46C291A2" w:rsidR="004000E8" w:rsidRDefault="00230D18" w:rsidP="00CE0424">
      <w:pPr>
        <w:pStyle w:val="Heading1"/>
      </w:pPr>
      <w:r>
        <w:t>2</w:t>
      </w:r>
      <w:r>
        <w:tab/>
      </w:r>
      <w:r w:rsidR="004000E8" w:rsidRPr="00CE0424">
        <w:t>Discussion</w:t>
      </w:r>
      <w:bookmarkEnd w:id="2"/>
    </w:p>
    <w:p w14:paraId="133CC818" w14:textId="7A384640" w:rsidR="008F221E" w:rsidRDefault="008F221E" w:rsidP="008F221E">
      <w:pPr>
        <w:pStyle w:val="Heading2"/>
      </w:pPr>
      <w:r>
        <w:t>2.</w:t>
      </w:r>
      <w:r w:rsidR="00965470">
        <w:t>1</w:t>
      </w:r>
      <w:r>
        <w:tab/>
        <w:t>P</w:t>
      </w:r>
      <w:r w:rsidR="00E6669D">
        <w:t>U</w:t>
      </w:r>
      <w:r>
        <w:t>SCH CE mode A</w:t>
      </w:r>
    </w:p>
    <w:p w14:paraId="6F3D2107" w14:textId="27D681D3" w:rsidR="00BE0819" w:rsidRDefault="009E1216" w:rsidP="00BE0819">
      <w:pPr>
        <w:rPr>
          <w:rFonts w:ascii="Arial" w:hAnsi="Arial" w:cs="Arial"/>
        </w:rPr>
      </w:pPr>
      <w:r>
        <w:rPr>
          <w:rFonts w:ascii="Arial" w:hAnsi="Arial" w:cs="Arial"/>
        </w:rPr>
        <w:t xml:space="preserve">For PUSCH in CE mode A, </w:t>
      </w:r>
      <w:r w:rsidR="00BE0819">
        <w:rPr>
          <w:rFonts w:ascii="Arial" w:hAnsi="Arial" w:cs="Arial"/>
        </w:rPr>
        <w:t xml:space="preserve">uplink resource allocation type 0 is introduced for BL/CE UEs in </w:t>
      </w:r>
      <w:r w:rsidR="00BE0819" w:rsidRPr="009D12B4">
        <w:rPr>
          <w:rFonts w:ascii="Arial" w:hAnsi="Arial" w:cs="Arial"/>
        </w:rPr>
        <w:t>TS 36.213 8.1.1</w:t>
      </w:r>
      <w:r w:rsidR="00BE0819">
        <w:rPr>
          <w:rFonts w:ascii="Arial" w:hAnsi="Arial" w:cs="Arial"/>
        </w:rPr>
        <w:t xml:space="preserve"> </w:t>
      </w:r>
      <w:r w:rsidR="00BE0819">
        <w:rPr>
          <w:rFonts w:ascii="Arial" w:hAnsi="Arial" w:cs="Arial"/>
        </w:rPr>
        <w:fldChar w:fldCharType="begin"/>
      </w:r>
      <w:r w:rsidR="00BE0819">
        <w:rPr>
          <w:rFonts w:ascii="Arial" w:hAnsi="Arial" w:cs="Arial"/>
        </w:rPr>
        <w:instrText xml:space="preserve"> REF _Ref521662128 \r \h </w:instrText>
      </w:r>
      <w:r w:rsidR="00BE0819">
        <w:rPr>
          <w:rFonts w:ascii="Arial" w:hAnsi="Arial" w:cs="Arial"/>
        </w:rPr>
      </w:r>
      <w:r w:rsidR="00BE0819">
        <w:rPr>
          <w:rFonts w:ascii="Arial" w:hAnsi="Arial" w:cs="Arial"/>
        </w:rPr>
        <w:fldChar w:fldCharType="separate"/>
      </w:r>
      <w:r w:rsidR="00F12F5B">
        <w:rPr>
          <w:rFonts w:ascii="Arial" w:hAnsi="Arial" w:cs="Arial"/>
        </w:rPr>
        <w:t>[4]</w:t>
      </w:r>
      <w:r w:rsidR="00BE0819">
        <w:rPr>
          <w:rFonts w:ascii="Arial" w:hAnsi="Arial" w:cs="Arial"/>
        </w:rPr>
        <w:fldChar w:fldCharType="end"/>
      </w:r>
      <w:r w:rsidR="00C161E6">
        <w:rPr>
          <w:rFonts w:ascii="Arial" w:hAnsi="Arial" w:cs="Arial"/>
        </w:rPr>
        <w:t>:</w:t>
      </w:r>
    </w:p>
    <w:p w14:paraId="5C25A593" w14:textId="1028A3C3" w:rsidR="00BC7981" w:rsidRDefault="00BE0819" w:rsidP="00BE0819">
      <w:pPr>
        <w:jc w:val="center"/>
        <w:rPr>
          <w:rFonts w:ascii="Arial" w:hAnsi="Arial" w:cs="Arial"/>
        </w:rPr>
      </w:pPr>
      <w:r w:rsidRPr="00BC7981">
        <w:rPr>
          <w:noProof/>
        </w:rPr>
        <w:drawing>
          <wp:inline distT="0" distB="0" distL="0" distR="0" wp14:anchorId="2F2317FE" wp14:editId="705C3D64">
            <wp:extent cx="5040000" cy="3578400"/>
            <wp:effectExtent l="19050" t="19050" r="27305" b="222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0000" cy="3578400"/>
                    </a:xfrm>
                    <a:prstGeom prst="rect">
                      <a:avLst/>
                    </a:prstGeom>
                    <a:noFill/>
                    <a:ln>
                      <a:solidFill>
                        <a:schemeClr val="accent1"/>
                      </a:solidFill>
                    </a:ln>
                  </pic:spPr>
                </pic:pic>
              </a:graphicData>
            </a:graphic>
          </wp:inline>
        </w:drawing>
      </w:r>
    </w:p>
    <w:p w14:paraId="494F9B74" w14:textId="74BA573B" w:rsidR="00F115E8" w:rsidRDefault="00787D76" w:rsidP="008F221E">
      <w:pPr>
        <w:rPr>
          <w:rFonts w:ascii="Arial" w:hAnsi="Arial" w:cs="Arial"/>
        </w:rPr>
      </w:pPr>
      <w:r>
        <w:rPr>
          <w:rFonts w:ascii="Arial" w:hAnsi="Arial" w:cs="Arial"/>
        </w:rPr>
        <w:t xml:space="preserve">The </w:t>
      </w:r>
      <w:r w:rsidR="00BE0819">
        <w:rPr>
          <w:rFonts w:ascii="Arial" w:hAnsi="Arial" w:cs="Arial"/>
        </w:rPr>
        <w:t xml:space="preserve">size of the </w:t>
      </w:r>
      <w:r w:rsidR="00F115E8">
        <w:rPr>
          <w:rFonts w:ascii="Arial" w:hAnsi="Arial" w:cs="Arial"/>
        </w:rPr>
        <w:t xml:space="preserve">Resource block assignment </w:t>
      </w:r>
      <w:r w:rsidR="00655E3C">
        <w:rPr>
          <w:rFonts w:ascii="Arial" w:hAnsi="Arial" w:cs="Arial"/>
        </w:rPr>
        <w:t xml:space="preserve">(RA) </w:t>
      </w:r>
      <w:r w:rsidR="00F115E8">
        <w:rPr>
          <w:rFonts w:ascii="Arial" w:hAnsi="Arial" w:cs="Arial"/>
        </w:rPr>
        <w:t xml:space="preserve">field for DCI format 6-0A </w:t>
      </w:r>
      <w:r w:rsidR="00BE0819">
        <w:rPr>
          <w:rFonts w:ascii="Arial" w:hAnsi="Arial" w:cs="Arial"/>
        </w:rPr>
        <w:t xml:space="preserve">is increased </w:t>
      </w:r>
      <w:r w:rsidR="00F115E8">
        <w:rPr>
          <w:rFonts w:ascii="Arial" w:hAnsi="Arial" w:cs="Arial"/>
        </w:rPr>
        <w:t>in TS 36.212, clause 5.3.</w:t>
      </w:r>
      <w:r w:rsidR="00BC7981">
        <w:rPr>
          <w:rFonts w:ascii="Arial" w:hAnsi="Arial" w:cs="Arial"/>
        </w:rPr>
        <w:t xml:space="preserve">3.1.10 </w:t>
      </w:r>
      <w:r w:rsidR="00655E3C">
        <w:rPr>
          <w:rFonts w:ascii="Arial" w:hAnsi="Arial" w:cs="Arial"/>
        </w:rPr>
        <w:fldChar w:fldCharType="begin"/>
      </w:r>
      <w:r w:rsidR="00655E3C">
        <w:rPr>
          <w:rFonts w:ascii="Arial" w:hAnsi="Arial" w:cs="Arial"/>
        </w:rPr>
        <w:instrText xml:space="preserve"> REF _Ref521664644 \r \h </w:instrText>
      </w:r>
      <w:r w:rsidR="00655E3C">
        <w:rPr>
          <w:rFonts w:ascii="Arial" w:hAnsi="Arial" w:cs="Arial"/>
        </w:rPr>
      </w:r>
      <w:r w:rsidR="00655E3C">
        <w:rPr>
          <w:rFonts w:ascii="Arial" w:hAnsi="Arial" w:cs="Arial"/>
        </w:rPr>
        <w:fldChar w:fldCharType="separate"/>
      </w:r>
      <w:r w:rsidR="00F12F5B">
        <w:rPr>
          <w:rFonts w:ascii="Arial" w:hAnsi="Arial" w:cs="Arial"/>
        </w:rPr>
        <w:t>[3]</w:t>
      </w:r>
      <w:r w:rsidR="00655E3C">
        <w:rPr>
          <w:rFonts w:ascii="Arial" w:hAnsi="Arial" w:cs="Arial"/>
        </w:rPr>
        <w:fldChar w:fldCharType="end"/>
      </w:r>
      <w:r w:rsidR="00655E3C">
        <w:rPr>
          <w:rFonts w:ascii="Arial" w:hAnsi="Arial" w:cs="Arial"/>
        </w:rPr>
        <w:t xml:space="preserve"> </w:t>
      </w:r>
      <w:r w:rsidR="00BC7981">
        <w:rPr>
          <w:rFonts w:ascii="Arial" w:hAnsi="Arial" w:cs="Arial"/>
        </w:rPr>
        <w:t>according to</w:t>
      </w:r>
      <w:r w:rsidR="00C161E6">
        <w:rPr>
          <w:rFonts w:ascii="Arial" w:hAnsi="Arial" w:cs="Arial"/>
        </w:rPr>
        <w:t>:</w:t>
      </w:r>
    </w:p>
    <w:p w14:paraId="6DB9DB84" w14:textId="64D35101" w:rsidR="00F115E8" w:rsidRDefault="00BE0819" w:rsidP="00BC7981">
      <w:pPr>
        <w:jc w:val="center"/>
      </w:pPr>
      <w:r w:rsidRPr="00BE0819">
        <w:rPr>
          <w:noProof/>
        </w:rPr>
        <w:lastRenderedPageBreak/>
        <w:drawing>
          <wp:inline distT="0" distB="0" distL="0" distR="0" wp14:anchorId="5D030728" wp14:editId="16B06336">
            <wp:extent cx="5040000" cy="3729600"/>
            <wp:effectExtent l="19050" t="19050" r="27305" b="2349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3729600"/>
                    </a:xfrm>
                    <a:prstGeom prst="rect">
                      <a:avLst/>
                    </a:prstGeom>
                    <a:noFill/>
                    <a:ln>
                      <a:solidFill>
                        <a:schemeClr val="accent1"/>
                      </a:solidFill>
                    </a:ln>
                  </pic:spPr>
                </pic:pic>
              </a:graphicData>
            </a:graphic>
          </wp:inline>
        </w:drawing>
      </w:r>
    </w:p>
    <w:p w14:paraId="39254568" w14:textId="77777777" w:rsidR="00A705FB" w:rsidRDefault="00C161E6" w:rsidP="008F221E">
      <w:pPr>
        <w:rPr>
          <w:rFonts w:ascii="Arial" w:hAnsi="Arial" w:cs="Arial"/>
        </w:rPr>
      </w:pPr>
      <w:r>
        <w:rPr>
          <w:rFonts w:ascii="Arial" w:hAnsi="Arial" w:cs="Arial"/>
        </w:rPr>
        <w:t>According to the agreement the starting PRB</w:t>
      </w:r>
      <w:r w:rsidR="00A705FB">
        <w:rPr>
          <w:rFonts w:ascii="Arial" w:hAnsi="Arial" w:cs="Arial"/>
        </w:rPr>
        <w:t>, when configured with flexible PUSCH resource allocation in CE mode A, should be chosen from within the full system bandwidth. It is acknowledged that this can be done via either of two approaches:</w:t>
      </w:r>
    </w:p>
    <w:p w14:paraId="00098836" w14:textId="50E0F076" w:rsidR="00C161E6" w:rsidRDefault="00A705FB" w:rsidP="00A705FB">
      <w:pPr>
        <w:pStyle w:val="ListParagraph"/>
        <w:numPr>
          <w:ilvl w:val="0"/>
          <w:numId w:val="26"/>
        </w:numPr>
        <w:rPr>
          <w:rFonts w:ascii="Arial" w:hAnsi="Arial" w:cs="Arial"/>
          <w:sz w:val="20"/>
          <w:szCs w:val="20"/>
        </w:rPr>
      </w:pPr>
      <w:proofErr w:type="spellStart"/>
      <w:r w:rsidRPr="00A705FB">
        <w:rPr>
          <w:rFonts w:ascii="Arial" w:hAnsi="Arial" w:cs="Arial"/>
          <w:sz w:val="20"/>
          <w:szCs w:val="20"/>
        </w:rPr>
        <w:t>Use</w:t>
      </w:r>
      <w:proofErr w:type="spellEnd"/>
      <w:r w:rsidRPr="00A705FB">
        <w:rPr>
          <w:rFonts w:ascii="Arial" w:hAnsi="Arial" w:cs="Arial"/>
          <w:sz w:val="20"/>
          <w:szCs w:val="20"/>
        </w:rPr>
        <w:t xml:space="preserve"> the RIV </w:t>
      </w:r>
      <w:proofErr w:type="spellStart"/>
      <w:r w:rsidRPr="00A705FB">
        <w:rPr>
          <w:rFonts w:ascii="Arial" w:hAnsi="Arial" w:cs="Arial"/>
          <w:sz w:val="20"/>
          <w:szCs w:val="20"/>
        </w:rPr>
        <w:t>calculation</w:t>
      </w:r>
      <w:proofErr w:type="spellEnd"/>
      <w:r w:rsidRPr="00A705FB">
        <w:rPr>
          <w:rFonts w:ascii="Arial" w:hAnsi="Arial" w:cs="Arial"/>
          <w:sz w:val="20"/>
          <w:szCs w:val="20"/>
        </w:rPr>
        <w:t xml:space="preserve"> as </w:t>
      </w:r>
      <w:proofErr w:type="spellStart"/>
      <w:r w:rsidRPr="00A705FB">
        <w:rPr>
          <w:rFonts w:ascii="Arial" w:hAnsi="Arial" w:cs="Arial"/>
          <w:sz w:val="20"/>
          <w:szCs w:val="20"/>
        </w:rPr>
        <w:t>described</w:t>
      </w:r>
      <w:proofErr w:type="spellEnd"/>
      <w:r w:rsidRPr="00A705FB">
        <w:rPr>
          <w:rFonts w:ascii="Arial" w:hAnsi="Arial" w:cs="Arial"/>
          <w:sz w:val="20"/>
          <w:szCs w:val="20"/>
        </w:rPr>
        <w:t xml:space="preserve"> in TS 36.213 </w:t>
      </w:r>
      <w:r w:rsidR="00954643" w:rsidRPr="00954643">
        <w:rPr>
          <w:rFonts w:ascii="Arial" w:hAnsi="Arial" w:cs="Arial"/>
          <w:sz w:val="20"/>
          <w:szCs w:val="20"/>
          <w:lang w:val="en-US"/>
        </w:rPr>
        <w:t>claus</w:t>
      </w:r>
      <w:r w:rsidR="00954643">
        <w:rPr>
          <w:rFonts w:ascii="Arial" w:hAnsi="Arial" w:cs="Arial"/>
          <w:sz w:val="20"/>
          <w:szCs w:val="20"/>
          <w:lang w:val="en-US"/>
        </w:rPr>
        <w:t>e</w:t>
      </w:r>
      <w:r w:rsidR="00954643" w:rsidRPr="00954643">
        <w:rPr>
          <w:rFonts w:ascii="Arial" w:hAnsi="Arial" w:cs="Arial"/>
          <w:sz w:val="20"/>
          <w:szCs w:val="20"/>
          <w:lang w:val="en-US"/>
        </w:rPr>
        <w:t xml:space="preserve"> </w:t>
      </w:r>
      <w:r w:rsidRPr="00A705FB">
        <w:rPr>
          <w:rFonts w:ascii="Arial" w:hAnsi="Arial" w:cs="Arial"/>
          <w:sz w:val="20"/>
          <w:szCs w:val="20"/>
        </w:rPr>
        <w:t>8.1.1 [4]</w:t>
      </w:r>
      <w:r>
        <w:rPr>
          <w:rFonts w:ascii="Arial" w:hAnsi="Arial" w:cs="Arial"/>
          <w:sz w:val="20"/>
          <w:szCs w:val="20"/>
        </w:rPr>
        <w:t xml:space="preserve"> </w:t>
      </w:r>
      <w:proofErr w:type="spellStart"/>
      <w:r>
        <w:rPr>
          <w:rFonts w:ascii="Arial" w:hAnsi="Arial" w:cs="Arial"/>
          <w:sz w:val="20"/>
          <w:szCs w:val="20"/>
        </w:rPr>
        <w:t>with</w:t>
      </w:r>
      <w:proofErr w:type="spellEnd"/>
      <w:r>
        <w:rPr>
          <w:rFonts w:ascii="Arial" w:hAnsi="Arial" w:cs="Arial"/>
          <w:sz w:val="20"/>
          <w:szCs w:val="20"/>
        </w:rPr>
        <w:t xml:space="preserve"> </w:t>
      </w:r>
      <w:proofErr w:type="spellStart"/>
      <w:r>
        <w:rPr>
          <w:rFonts w:ascii="Arial" w:hAnsi="Arial" w:cs="Arial"/>
          <w:sz w:val="20"/>
          <w:szCs w:val="20"/>
        </w:rPr>
        <w:t>RB_sta</w:t>
      </w:r>
      <w:r w:rsidR="00093955">
        <w:rPr>
          <w:rFonts w:ascii="Arial" w:hAnsi="Arial" w:cs="Arial"/>
          <w:sz w:val="20"/>
          <w:szCs w:val="20"/>
        </w:rPr>
        <w:t>rt</w:t>
      </w:r>
      <w:proofErr w:type="spellEnd"/>
      <w:r w:rsidR="00093955">
        <w:rPr>
          <w:rFonts w:ascii="Arial" w:hAnsi="Arial" w:cs="Arial"/>
          <w:sz w:val="20"/>
          <w:szCs w:val="20"/>
        </w:rPr>
        <w:t xml:space="preserve"> chosen from all </w:t>
      </w:r>
      <w:proofErr w:type="spellStart"/>
      <w:r w:rsidR="00093955">
        <w:rPr>
          <w:rFonts w:ascii="Arial" w:hAnsi="Arial" w:cs="Arial"/>
          <w:sz w:val="20"/>
          <w:szCs w:val="20"/>
        </w:rPr>
        <w:t>PRBs</w:t>
      </w:r>
      <w:proofErr w:type="spellEnd"/>
      <w:r w:rsidR="00093955">
        <w:rPr>
          <w:rFonts w:ascii="Arial" w:hAnsi="Arial" w:cs="Arial"/>
          <w:sz w:val="20"/>
          <w:szCs w:val="20"/>
        </w:rPr>
        <w:t xml:space="preserve"> </w:t>
      </w:r>
      <w:proofErr w:type="spellStart"/>
      <w:r w:rsidR="00093955">
        <w:rPr>
          <w:rFonts w:ascii="Arial" w:hAnsi="Arial" w:cs="Arial"/>
          <w:sz w:val="20"/>
          <w:szCs w:val="20"/>
        </w:rPr>
        <w:t>within</w:t>
      </w:r>
      <w:proofErr w:type="spellEnd"/>
      <w:r w:rsidR="00093955">
        <w:rPr>
          <w:rFonts w:ascii="Arial" w:hAnsi="Arial" w:cs="Arial"/>
          <w:sz w:val="20"/>
          <w:szCs w:val="20"/>
        </w:rPr>
        <w:t xml:space="preserve"> </w:t>
      </w:r>
      <w:proofErr w:type="spellStart"/>
      <w:r>
        <w:rPr>
          <w:rFonts w:ascii="Arial" w:hAnsi="Arial" w:cs="Arial"/>
          <w:sz w:val="20"/>
          <w:szCs w:val="20"/>
        </w:rPr>
        <w:t>t</w:t>
      </w:r>
      <w:r w:rsidR="00093955" w:rsidRPr="00093955">
        <w:rPr>
          <w:rFonts w:ascii="Arial" w:hAnsi="Arial" w:cs="Arial"/>
          <w:sz w:val="20"/>
          <w:szCs w:val="20"/>
          <w:lang w:val="en-US"/>
        </w:rPr>
        <w:t>h</w:t>
      </w:r>
      <w:proofErr w:type="spellEnd"/>
      <w:r>
        <w:rPr>
          <w:rFonts w:ascii="Arial" w:hAnsi="Arial" w:cs="Arial"/>
          <w:sz w:val="20"/>
          <w:szCs w:val="20"/>
        </w:rPr>
        <w:t xml:space="preserve">e system </w:t>
      </w:r>
      <w:proofErr w:type="spellStart"/>
      <w:r>
        <w:rPr>
          <w:rFonts w:ascii="Arial" w:hAnsi="Arial" w:cs="Arial"/>
          <w:sz w:val="20"/>
          <w:szCs w:val="20"/>
        </w:rPr>
        <w:t>bandwidth</w:t>
      </w:r>
      <w:proofErr w:type="spellEnd"/>
      <w:r w:rsidR="00093955" w:rsidRPr="00093955">
        <w:rPr>
          <w:rFonts w:ascii="Arial" w:hAnsi="Arial" w:cs="Arial"/>
          <w:sz w:val="20"/>
          <w:szCs w:val="20"/>
          <w:lang w:val="en-US"/>
        </w:rPr>
        <w:t>, as pr</w:t>
      </w:r>
      <w:r w:rsidR="00093955">
        <w:rPr>
          <w:rFonts w:ascii="Arial" w:hAnsi="Arial" w:cs="Arial"/>
          <w:sz w:val="20"/>
          <w:szCs w:val="20"/>
          <w:lang w:val="en-US"/>
        </w:rPr>
        <w:t>o</w:t>
      </w:r>
      <w:r w:rsidR="00093955" w:rsidRPr="00093955">
        <w:rPr>
          <w:rFonts w:ascii="Arial" w:hAnsi="Arial" w:cs="Arial"/>
          <w:sz w:val="20"/>
          <w:szCs w:val="20"/>
          <w:lang w:val="en-US"/>
        </w:rPr>
        <w:t xml:space="preserve">posed in e.g. </w:t>
      </w:r>
      <w:r w:rsidR="00093955">
        <w:rPr>
          <w:rFonts w:ascii="Arial" w:hAnsi="Arial" w:cs="Arial"/>
          <w:sz w:val="20"/>
          <w:szCs w:val="20"/>
          <w:lang w:val="en-US"/>
        </w:rPr>
        <w:fldChar w:fldCharType="begin"/>
      </w:r>
      <w:r w:rsidR="00093955">
        <w:rPr>
          <w:rFonts w:ascii="Arial" w:hAnsi="Arial" w:cs="Arial"/>
          <w:sz w:val="20"/>
          <w:szCs w:val="20"/>
          <w:lang w:val="en-US"/>
        </w:rPr>
        <w:instrText xml:space="preserve"> REF _Ref521675231 \r \h </w:instrText>
      </w:r>
      <w:r w:rsidR="00093955">
        <w:rPr>
          <w:rFonts w:ascii="Arial" w:hAnsi="Arial" w:cs="Arial"/>
          <w:sz w:val="20"/>
          <w:szCs w:val="20"/>
          <w:lang w:val="en-US"/>
        </w:rPr>
      </w:r>
      <w:r w:rsidR="00093955">
        <w:rPr>
          <w:rFonts w:ascii="Arial" w:hAnsi="Arial" w:cs="Arial"/>
          <w:sz w:val="20"/>
          <w:szCs w:val="20"/>
          <w:lang w:val="en-US"/>
        </w:rPr>
        <w:fldChar w:fldCharType="separate"/>
      </w:r>
      <w:r w:rsidR="00F12F5B">
        <w:rPr>
          <w:rFonts w:ascii="Arial" w:hAnsi="Arial" w:cs="Arial"/>
          <w:sz w:val="20"/>
          <w:szCs w:val="20"/>
          <w:lang w:val="en-US"/>
        </w:rPr>
        <w:t>[5]</w:t>
      </w:r>
      <w:r w:rsidR="00093955">
        <w:rPr>
          <w:rFonts w:ascii="Arial" w:hAnsi="Arial" w:cs="Arial"/>
          <w:sz w:val="20"/>
          <w:szCs w:val="20"/>
          <w:lang w:val="en-US"/>
        </w:rPr>
        <w:fldChar w:fldCharType="end"/>
      </w:r>
    </w:p>
    <w:p w14:paraId="16F7FDA8" w14:textId="7E489AAE" w:rsidR="00093955" w:rsidRPr="00954643" w:rsidRDefault="00A705FB" w:rsidP="00A705FB">
      <w:pPr>
        <w:pStyle w:val="ListParagraph"/>
        <w:numPr>
          <w:ilvl w:val="0"/>
          <w:numId w:val="26"/>
        </w:numPr>
        <w:rPr>
          <w:rFonts w:ascii="Arial" w:hAnsi="Arial" w:cs="Arial"/>
          <w:sz w:val="20"/>
          <w:szCs w:val="20"/>
        </w:rPr>
      </w:pPr>
      <w:r w:rsidRPr="00A705FB">
        <w:rPr>
          <w:rFonts w:ascii="Arial" w:hAnsi="Arial" w:cs="Arial"/>
          <w:sz w:val="20"/>
          <w:szCs w:val="20"/>
          <w:lang w:val="en-US"/>
        </w:rPr>
        <w:t>Keep the narrowband ind</w:t>
      </w:r>
      <w:r>
        <w:rPr>
          <w:rFonts w:ascii="Arial" w:hAnsi="Arial" w:cs="Arial"/>
          <w:sz w:val="20"/>
          <w:szCs w:val="20"/>
          <w:lang w:val="en-US"/>
        </w:rPr>
        <w:t xml:space="preserve">exation but extend the RIV for </w:t>
      </w:r>
      <w:r w:rsidRPr="00A705FB">
        <w:rPr>
          <w:rFonts w:ascii="Arial" w:hAnsi="Arial" w:cs="Arial"/>
          <w:sz w:val="20"/>
          <w:szCs w:val="20"/>
          <w:lang w:val="en-US"/>
        </w:rPr>
        <w:t>t</w:t>
      </w:r>
      <w:r>
        <w:rPr>
          <w:rFonts w:ascii="Arial" w:hAnsi="Arial" w:cs="Arial"/>
          <w:sz w:val="20"/>
          <w:szCs w:val="20"/>
          <w:lang w:val="en-US"/>
        </w:rPr>
        <w:t>h</w:t>
      </w:r>
      <w:r w:rsidRPr="00A705FB">
        <w:rPr>
          <w:rFonts w:ascii="Arial" w:hAnsi="Arial" w:cs="Arial"/>
          <w:sz w:val="20"/>
          <w:szCs w:val="20"/>
          <w:lang w:val="en-US"/>
        </w:rPr>
        <w:t xml:space="preserve">e narrowband to also include </w:t>
      </w:r>
      <w:r>
        <w:rPr>
          <w:rFonts w:ascii="Arial" w:hAnsi="Arial" w:cs="Arial"/>
          <w:sz w:val="20"/>
          <w:szCs w:val="20"/>
          <w:lang w:val="en-US"/>
        </w:rPr>
        <w:t>a</w:t>
      </w:r>
      <w:r w:rsidRPr="00A705FB">
        <w:rPr>
          <w:rFonts w:ascii="Arial" w:hAnsi="Arial" w:cs="Arial"/>
          <w:sz w:val="20"/>
          <w:szCs w:val="20"/>
          <w:lang w:val="en-US"/>
        </w:rPr>
        <w:t>llocations outside the narrowband</w:t>
      </w:r>
    </w:p>
    <w:p w14:paraId="4262FBE6" w14:textId="77777777" w:rsidR="00954643" w:rsidRPr="00954643" w:rsidRDefault="00954643" w:rsidP="00954643">
      <w:pPr>
        <w:pStyle w:val="ListParagraph"/>
        <w:rPr>
          <w:rFonts w:ascii="Arial" w:hAnsi="Arial" w:cs="Arial"/>
          <w:sz w:val="20"/>
          <w:szCs w:val="20"/>
        </w:rPr>
      </w:pPr>
    </w:p>
    <w:p w14:paraId="0AB22280" w14:textId="0E1278B5" w:rsidR="00A705FB" w:rsidRDefault="00093955" w:rsidP="00A705FB">
      <w:pPr>
        <w:rPr>
          <w:rFonts w:ascii="Arial" w:hAnsi="Arial" w:cs="Arial"/>
        </w:rPr>
      </w:pPr>
      <w:r>
        <w:rPr>
          <w:rFonts w:ascii="Arial" w:hAnsi="Arial" w:cs="Arial"/>
        </w:rPr>
        <w:t xml:space="preserve">The current text </w:t>
      </w:r>
      <w:r w:rsidR="00954643">
        <w:rPr>
          <w:rFonts w:ascii="Arial" w:hAnsi="Arial" w:cs="Arial"/>
        </w:rPr>
        <w:t xml:space="preserve">for the size of the RA field </w:t>
      </w:r>
      <w:r>
        <w:rPr>
          <w:rFonts w:ascii="Arial" w:hAnsi="Arial" w:cs="Arial"/>
        </w:rPr>
        <w:t xml:space="preserve">in </w:t>
      </w:r>
      <w:r w:rsidR="00954643">
        <w:rPr>
          <w:rFonts w:ascii="Arial" w:hAnsi="Arial" w:cs="Arial"/>
        </w:rPr>
        <w:t xml:space="preserve">TS 36.212 clause 5.3.3.1.10 </w:t>
      </w:r>
      <w:r w:rsidR="00954643">
        <w:rPr>
          <w:rFonts w:ascii="Arial" w:hAnsi="Arial" w:cs="Arial"/>
        </w:rPr>
        <w:fldChar w:fldCharType="begin"/>
      </w:r>
      <w:r w:rsidR="00954643">
        <w:rPr>
          <w:rFonts w:ascii="Arial" w:hAnsi="Arial" w:cs="Arial"/>
        </w:rPr>
        <w:instrText xml:space="preserve"> REF _Ref521664644 \r \h </w:instrText>
      </w:r>
      <w:r w:rsidR="00954643">
        <w:rPr>
          <w:rFonts w:ascii="Arial" w:hAnsi="Arial" w:cs="Arial"/>
        </w:rPr>
      </w:r>
      <w:r w:rsidR="00954643">
        <w:rPr>
          <w:rFonts w:ascii="Arial" w:hAnsi="Arial" w:cs="Arial"/>
        </w:rPr>
        <w:fldChar w:fldCharType="separate"/>
      </w:r>
      <w:r w:rsidR="00F12F5B">
        <w:rPr>
          <w:rFonts w:ascii="Arial" w:hAnsi="Arial" w:cs="Arial"/>
        </w:rPr>
        <w:t>[3]</w:t>
      </w:r>
      <w:r w:rsidR="00954643">
        <w:rPr>
          <w:rFonts w:ascii="Arial" w:hAnsi="Arial" w:cs="Arial"/>
        </w:rPr>
        <w:fldChar w:fldCharType="end"/>
      </w:r>
      <w:r w:rsidR="00954643">
        <w:rPr>
          <w:rFonts w:ascii="Arial" w:hAnsi="Arial" w:cs="Arial"/>
        </w:rPr>
        <w:t xml:space="preserve"> alludes to that the addressing is according to the second approach above, although there are no updates to the RIV calculation in </w:t>
      </w:r>
      <w:r w:rsidR="00954643" w:rsidRPr="00A705FB">
        <w:rPr>
          <w:rFonts w:ascii="Arial" w:hAnsi="Arial" w:cs="Arial"/>
        </w:rPr>
        <w:t xml:space="preserve">TS 36.213 </w:t>
      </w:r>
      <w:r w:rsidR="00954643" w:rsidRPr="00954643">
        <w:rPr>
          <w:rFonts w:ascii="Arial" w:hAnsi="Arial" w:cs="Arial"/>
        </w:rPr>
        <w:t>claus</w:t>
      </w:r>
      <w:r w:rsidR="00954643">
        <w:rPr>
          <w:rFonts w:ascii="Arial" w:hAnsi="Arial" w:cs="Arial"/>
        </w:rPr>
        <w:t>e</w:t>
      </w:r>
      <w:r w:rsidR="00954643" w:rsidRPr="00954643">
        <w:rPr>
          <w:rFonts w:ascii="Arial" w:hAnsi="Arial" w:cs="Arial"/>
        </w:rPr>
        <w:t xml:space="preserve"> </w:t>
      </w:r>
      <w:r w:rsidR="00954643" w:rsidRPr="00A705FB">
        <w:rPr>
          <w:rFonts w:ascii="Arial" w:hAnsi="Arial" w:cs="Arial"/>
        </w:rPr>
        <w:t>8.1.1 [4]</w:t>
      </w:r>
      <w:r w:rsidR="00954643">
        <w:rPr>
          <w:rFonts w:ascii="Arial" w:hAnsi="Arial" w:cs="Arial"/>
        </w:rPr>
        <w:t xml:space="preserve"> to reflect this. Hence, it is a</w:t>
      </w:r>
      <w:r w:rsidR="00965470">
        <w:rPr>
          <w:rFonts w:ascii="Arial" w:hAnsi="Arial" w:cs="Arial"/>
        </w:rPr>
        <w:t>n ambiguity</w:t>
      </w:r>
      <w:r w:rsidR="00954643">
        <w:rPr>
          <w:rFonts w:ascii="Arial" w:hAnsi="Arial" w:cs="Arial"/>
        </w:rPr>
        <w:t xml:space="preserve"> between the corresponding sections in the two specifications. It is proposed to update the specification text in TS 36.212 clause 5.3.3.1.10 </w:t>
      </w:r>
      <w:r w:rsidR="00954643">
        <w:rPr>
          <w:rFonts w:ascii="Arial" w:hAnsi="Arial" w:cs="Arial"/>
        </w:rPr>
        <w:fldChar w:fldCharType="begin"/>
      </w:r>
      <w:r w:rsidR="00954643">
        <w:rPr>
          <w:rFonts w:ascii="Arial" w:hAnsi="Arial" w:cs="Arial"/>
        </w:rPr>
        <w:instrText xml:space="preserve"> REF _Ref521664644 \r \h </w:instrText>
      </w:r>
      <w:r w:rsidR="00954643">
        <w:rPr>
          <w:rFonts w:ascii="Arial" w:hAnsi="Arial" w:cs="Arial"/>
        </w:rPr>
      </w:r>
      <w:r w:rsidR="00954643">
        <w:rPr>
          <w:rFonts w:ascii="Arial" w:hAnsi="Arial" w:cs="Arial"/>
        </w:rPr>
        <w:fldChar w:fldCharType="separate"/>
      </w:r>
      <w:r w:rsidR="00F12F5B">
        <w:rPr>
          <w:rFonts w:ascii="Arial" w:hAnsi="Arial" w:cs="Arial"/>
        </w:rPr>
        <w:t>[3]</w:t>
      </w:r>
      <w:r w:rsidR="00954643">
        <w:rPr>
          <w:rFonts w:ascii="Arial" w:hAnsi="Arial" w:cs="Arial"/>
        </w:rPr>
        <w:fldChar w:fldCharType="end"/>
      </w:r>
      <w:r w:rsidR="00954643">
        <w:rPr>
          <w:rFonts w:ascii="Arial" w:hAnsi="Arial" w:cs="Arial"/>
        </w:rPr>
        <w:t xml:space="preserve"> and </w:t>
      </w:r>
      <w:r w:rsidR="00954643" w:rsidRPr="00A705FB">
        <w:rPr>
          <w:rFonts w:ascii="Arial" w:hAnsi="Arial" w:cs="Arial"/>
        </w:rPr>
        <w:t xml:space="preserve">36.213 </w:t>
      </w:r>
      <w:r w:rsidR="00954643" w:rsidRPr="00954643">
        <w:rPr>
          <w:rFonts w:ascii="Arial" w:hAnsi="Arial" w:cs="Arial"/>
        </w:rPr>
        <w:t>claus</w:t>
      </w:r>
      <w:r w:rsidR="00954643">
        <w:rPr>
          <w:rFonts w:ascii="Arial" w:hAnsi="Arial" w:cs="Arial"/>
        </w:rPr>
        <w:t xml:space="preserve">e </w:t>
      </w:r>
      <w:r w:rsidR="00954643" w:rsidRPr="00A705FB">
        <w:rPr>
          <w:rFonts w:ascii="Arial" w:hAnsi="Arial" w:cs="Arial"/>
        </w:rPr>
        <w:t>8.1.1 [4]</w:t>
      </w:r>
      <w:r w:rsidR="00954643">
        <w:rPr>
          <w:rFonts w:ascii="Arial" w:hAnsi="Arial" w:cs="Arial"/>
        </w:rPr>
        <w:t xml:space="preserve"> to follow approach 1 outlined above.</w:t>
      </w:r>
    </w:p>
    <w:p w14:paraId="38508A23" w14:textId="0D384D52" w:rsidR="00954643" w:rsidRPr="00860101" w:rsidRDefault="00954643" w:rsidP="00860101">
      <w:pPr>
        <w:pStyle w:val="Observation"/>
        <w:ind w:left="1701" w:hanging="1701"/>
        <w:rPr>
          <w:rFonts w:cs="Arial"/>
          <w:lang w:eastAsia="en-US"/>
        </w:rPr>
      </w:pPr>
      <w:bookmarkStart w:id="3" w:name="_Toc521683668"/>
      <w:r w:rsidRPr="00860101">
        <w:rPr>
          <w:rFonts w:cs="Arial"/>
          <w:lang w:eastAsia="en-US"/>
        </w:rPr>
        <w:t xml:space="preserve">The text in </w:t>
      </w:r>
      <w:r>
        <w:rPr>
          <w:rFonts w:cs="Arial"/>
          <w:lang w:eastAsia="en-US"/>
        </w:rPr>
        <w:t xml:space="preserve">TS 36.212 clause 5.3.3.1.10 and </w:t>
      </w:r>
      <w:r w:rsidRPr="00A705FB">
        <w:rPr>
          <w:rFonts w:cs="Arial"/>
          <w:lang w:eastAsia="en-US"/>
        </w:rPr>
        <w:t xml:space="preserve">TS 36.213 </w:t>
      </w:r>
      <w:r w:rsidRPr="00860101">
        <w:rPr>
          <w:rFonts w:cs="Arial"/>
          <w:lang w:eastAsia="en-US"/>
        </w:rPr>
        <w:t xml:space="preserve">clause </w:t>
      </w:r>
      <w:r w:rsidRPr="00A705FB">
        <w:rPr>
          <w:rFonts w:cs="Arial"/>
          <w:lang w:eastAsia="en-US"/>
        </w:rPr>
        <w:t>8.1.1</w:t>
      </w:r>
      <w:r w:rsidR="000F4C3F">
        <w:rPr>
          <w:rFonts w:cs="Arial"/>
          <w:lang w:eastAsia="en-US"/>
        </w:rPr>
        <w:t xml:space="preserve"> </w:t>
      </w:r>
      <w:r>
        <w:rPr>
          <w:rFonts w:cs="Arial"/>
          <w:lang w:eastAsia="en-US"/>
        </w:rPr>
        <w:t>with respect to flexible resource starting PRB for PUSCH in CE mode A is not consistent.</w:t>
      </w:r>
      <w:bookmarkEnd w:id="3"/>
    </w:p>
    <w:p w14:paraId="06A6D6EC" w14:textId="76C8A2D1" w:rsidR="00AC3AA8" w:rsidRDefault="00954643" w:rsidP="00954643">
      <w:pPr>
        <w:pStyle w:val="Proposal"/>
      </w:pPr>
      <w:bookmarkStart w:id="4" w:name="_Toc521683672"/>
      <w:r>
        <w:rPr>
          <w:rFonts w:cs="Arial"/>
          <w:lang w:eastAsia="en-US"/>
        </w:rPr>
        <w:t xml:space="preserve">Update the specification text in TS 36.212 clause 5.3.3.1.10 and </w:t>
      </w:r>
      <w:r w:rsidR="00EF0676">
        <w:rPr>
          <w:rFonts w:cs="Arial"/>
          <w:lang w:eastAsia="en-US"/>
        </w:rPr>
        <w:t xml:space="preserve">TS </w:t>
      </w:r>
      <w:r w:rsidRPr="00A705FB">
        <w:rPr>
          <w:rFonts w:cs="Arial"/>
          <w:lang w:eastAsia="en-US"/>
        </w:rPr>
        <w:t xml:space="preserve">36.213 </w:t>
      </w:r>
      <w:r w:rsidRPr="00954643">
        <w:rPr>
          <w:rFonts w:cs="Arial"/>
        </w:rPr>
        <w:t>claus</w:t>
      </w:r>
      <w:r>
        <w:rPr>
          <w:rFonts w:cs="Arial"/>
        </w:rPr>
        <w:t xml:space="preserve">e </w:t>
      </w:r>
      <w:r>
        <w:rPr>
          <w:rFonts w:cs="Arial"/>
          <w:lang w:eastAsia="en-US"/>
        </w:rPr>
        <w:t>8.1.1 to use direct addressing of the starting PRB</w:t>
      </w:r>
      <w:bookmarkEnd w:id="4"/>
    </w:p>
    <w:p w14:paraId="338F3B18" w14:textId="27089073" w:rsidR="00C337CA" w:rsidRDefault="00826E79" w:rsidP="00826E79">
      <w:pPr>
        <w:rPr>
          <w:rFonts w:ascii="Arial" w:hAnsi="Arial" w:cs="Arial"/>
        </w:rPr>
      </w:pPr>
      <w:r>
        <w:rPr>
          <w:rFonts w:ascii="Arial" w:hAnsi="Arial" w:cs="Arial"/>
        </w:rPr>
        <w:t xml:space="preserve">The number of bits required in the RA field for addressing up to 6 PRBs from any starting PRB within the system bandwidth was evaluated in e.g. </w:t>
      </w:r>
      <w:r>
        <w:rPr>
          <w:rFonts w:ascii="Arial" w:hAnsi="Arial" w:cs="Arial"/>
        </w:rPr>
        <w:fldChar w:fldCharType="begin"/>
      </w:r>
      <w:r>
        <w:rPr>
          <w:rFonts w:ascii="Arial" w:hAnsi="Arial" w:cs="Arial"/>
        </w:rPr>
        <w:instrText xml:space="preserve"> REF _Ref521675231 \r \h </w:instrText>
      </w:r>
      <w:r w:rsidR="001845C5">
        <w:rPr>
          <w:rFonts w:ascii="Arial" w:hAnsi="Arial" w:cs="Arial"/>
        </w:rPr>
        <w:instrText xml:space="preserve"> \* MERGEFORMAT </w:instrText>
      </w:r>
      <w:r>
        <w:rPr>
          <w:rFonts w:ascii="Arial" w:hAnsi="Arial" w:cs="Arial"/>
        </w:rPr>
      </w:r>
      <w:r>
        <w:rPr>
          <w:rFonts w:ascii="Arial" w:hAnsi="Arial" w:cs="Arial"/>
        </w:rPr>
        <w:fldChar w:fldCharType="separate"/>
      </w:r>
      <w:r w:rsidR="00F12F5B">
        <w:rPr>
          <w:rFonts w:ascii="Arial" w:hAnsi="Arial" w:cs="Arial"/>
        </w:rPr>
        <w:t>[5]</w:t>
      </w:r>
      <w:r>
        <w:rPr>
          <w:rFonts w:ascii="Arial" w:hAnsi="Arial" w:cs="Arial"/>
        </w:rPr>
        <w:fldChar w:fldCharType="end"/>
      </w:r>
      <w:r w:rsidR="001845C5">
        <w:rPr>
          <w:rFonts w:ascii="Arial" w:hAnsi="Arial" w:cs="Arial"/>
        </w:rPr>
        <w:t xml:space="preserve">. </w:t>
      </w:r>
      <w:r w:rsidR="001845C5">
        <w:rPr>
          <w:rFonts w:ascii="Arial" w:hAnsi="Arial" w:cs="Arial"/>
        </w:rPr>
        <w:fldChar w:fldCharType="begin"/>
      </w:r>
      <w:r w:rsidR="001845C5">
        <w:rPr>
          <w:rFonts w:ascii="Arial" w:hAnsi="Arial" w:cs="Arial"/>
        </w:rPr>
        <w:instrText xml:space="preserve"> REF _Ref521675976 \h  \* MERGEFORMAT </w:instrText>
      </w:r>
      <w:r w:rsidR="001845C5">
        <w:rPr>
          <w:rFonts w:ascii="Arial" w:hAnsi="Arial" w:cs="Arial"/>
        </w:rPr>
      </w:r>
      <w:r w:rsidR="001845C5">
        <w:rPr>
          <w:rFonts w:ascii="Arial" w:hAnsi="Arial" w:cs="Arial"/>
        </w:rPr>
        <w:fldChar w:fldCharType="separate"/>
      </w:r>
      <w:r w:rsidR="00F12F5B" w:rsidRPr="00F12F5B">
        <w:rPr>
          <w:rFonts w:ascii="Arial" w:hAnsi="Arial" w:cs="Arial"/>
        </w:rPr>
        <w:t>Table 1</w:t>
      </w:r>
      <w:r w:rsidR="001845C5">
        <w:rPr>
          <w:rFonts w:ascii="Arial" w:hAnsi="Arial" w:cs="Arial"/>
        </w:rPr>
        <w:fldChar w:fldCharType="end"/>
      </w:r>
      <w:r w:rsidR="001845C5">
        <w:rPr>
          <w:rFonts w:ascii="Arial" w:hAnsi="Arial" w:cs="Arial"/>
        </w:rPr>
        <w:t xml:space="preserve"> summarized the size of the RA field in DCI format 6-0A for flexible resource allocation. </w:t>
      </w:r>
      <w:r w:rsidR="000F4C3F">
        <w:rPr>
          <w:rFonts w:ascii="Arial" w:hAnsi="Arial" w:cs="Arial"/>
        </w:rPr>
        <w:t>For</w:t>
      </w:r>
      <w:r w:rsidR="00EF0676">
        <w:rPr>
          <w:rFonts w:ascii="Arial" w:hAnsi="Arial" w:cs="Arial"/>
        </w:rPr>
        <w:t xml:space="preserve"> FDD, the size of the RA field is equal or smaller to the current</w:t>
      </w:r>
      <w:r w:rsidR="000F4C3F">
        <w:rPr>
          <w:rFonts w:ascii="Arial" w:hAnsi="Arial" w:cs="Arial"/>
        </w:rPr>
        <w:t>. For TDD, the same applies (</w:t>
      </w:r>
      <w:r w:rsidR="00EF0676">
        <w:rPr>
          <w:rFonts w:ascii="Arial" w:hAnsi="Arial" w:cs="Arial"/>
        </w:rPr>
        <w:t>with the exception for 3 MHz system bandwidth</w:t>
      </w:r>
      <w:r w:rsidR="000F4C3F">
        <w:rPr>
          <w:rFonts w:ascii="Arial" w:hAnsi="Arial" w:cs="Arial"/>
        </w:rPr>
        <w:t>)</w:t>
      </w:r>
      <w:r w:rsidR="00EF0676">
        <w:rPr>
          <w:rFonts w:ascii="Arial" w:hAnsi="Arial" w:cs="Arial"/>
        </w:rPr>
        <w:t xml:space="preserve"> if the allocation is constrained to only include up to 5 consecutive PRBs.</w:t>
      </w:r>
    </w:p>
    <w:p w14:paraId="18777DA1" w14:textId="3AB20CF5" w:rsidR="0099639D" w:rsidRPr="00EF0676" w:rsidRDefault="00EF0676" w:rsidP="00EF0676">
      <w:pPr>
        <w:pStyle w:val="Proposal"/>
      </w:pPr>
      <w:bookmarkStart w:id="5" w:name="_Toc521683673"/>
      <w:r>
        <w:t xml:space="preserve">Update the size of the RA field in TS 36.212 clause 5.3.3.1.10 to </w:t>
      </w:r>
      <w:r w:rsidRPr="00EF0676">
        <w:rPr>
          <w:rFonts w:cs="Arial"/>
          <w:lang w:eastAsia="en-US"/>
        </w:rPr>
        <w:t>ceil(log(6*N-1)</w:t>
      </w:r>
      <w:r>
        <w:rPr>
          <w:rFonts w:cs="Arial"/>
          <w:lang w:eastAsia="en-US"/>
        </w:rPr>
        <w:t xml:space="preserve"> for FDD and</w:t>
      </w:r>
      <w:r w:rsidRPr="00EF0676">
        <w:t xml:space="preserve"> </w:t>
      </w:r>
      <w:r w:rsidRPr="00EF0676">
        <w:rPr>
          <w:rFonts w:cs="Arial"/>
          <w:lang w:eastAsia="en-US"/>
        </w:rPr>
        <w:t>ceil(log(5*N-1)</w:t>
      </w:r>
      <w:r w:rsidR="00787D76">
        <w:rPr>
          <w:rFonts w:cs="Arial"/>
          <w:lang w:eastAsia="en-US"/>
        </w:rPr>
        <w:t>)</w:t>
      </w:r>
      <w:r>
        <w:rPr>
          <w:rFonts w:cs="Arial"/>
          <w:lang w:eastAsia="en-US"/>
        </w:rPr>
        <w:t xml:space="preserve"> for TDD.</w:t>
      </w:r>
      <w:bookmarkEnd w:id="5"/>
      <w:r>
        <w:rPr>
          <w:rFonts w:cs="Arial"/>
          <w:lang w:eastAsia="en-US"/>
        </w:rPr>
        <w:t xml:space="preserve"> </w:t>
      </w:r>
    </w:p>
    <w:p w14:paraId="40DFA4A9" w14:textId="32351D4E" w:rsidR="00EF0676" w:rsidRPr="00EF0676" w:rsidRDefault="00EF0676" w:rsidP="00EF0676">
      <w:pPr>
        <w:pStyle w:val="Proposal"/>
      </w:pPr>
      <w:bookmarkStart w:id="6" w:name="_Toc521683674"/>
      <w:r>
        <w:t xml:space="preserve">Update </w:t>
      </w:r>
      <w:r>
        <w:rPr>
          <w:rFonts w:cs="Arial"/>
          <w:lang w:eastAsia="en-US"/>
        </w:rPr>
        <w:t xml:space="preserve">TS </w:t>
      </w:r>
      <w:r w:rsidRPr="00A705FB">
        <w:rPr>
          <w:rFonts w:cs="Arial"/>
          <w:lang w:eastAsia="en-US"/>
        </w:rPr>
        <w:t xml:space="preserve">36.213 </w:t>
      </w:r>
      <w:r w:rsidRPr="00954643">
        <w:rPr>
          <w:rFonts w:cs="Arial"/>
        </w:rPr>
        <w:t>claus</w:t>
      </w:r>
      <w:r>
        <w:rPr>
          <w:rFonts w:cs="Arial"/>
        </w:rPr>
        <w:t xml:space="preserve">e </w:t>
      </w:r>
      <w:r>
        <w:rPr>
          <w:rFonts w:cs="Arial"/>
          <w:lang w:eastAsia="en-US"/>
        </w:rPr>
        <w:t xml:space="preserve">8.1.1 </w:t>
      </w:r>
      <w:r w:rsidR="00787D76">
        <w:rPr>
          <w:rFonts w:cs="Arial"/>
          <w:lang w:eastAsia="en-US"/>
        </w:rPr>
        <w:t xml:space="preserve">with that if </w:t>
      </w:r>
      <w:proofErr w:type="spellStart"/>
      <w:r w:rsidR="00787D76" w:rsidRPr="00787D76">
        <w:rPr>
          <w:rFonts w:cs="Arial"/>
          <w:i/>
          <w:lang w:eastAsia="en-US"/>
        </w:rPr>
        <w:t>ce</w:t>
      </w:r>
      <w:proofErr w:type="spellEnd"/>
      <w:r w:rsidR="00787D76" w:rsidRPr="00787D76">
        <w:rPr>
          <w:rFonts w:cs="Arial"/>
          <w:i/>
          <w:lang w:eastAsia="en-US"/>
        </w:rPr>
        <w:t>-PUSCH-</w:t>
      </w:r>
      <w:proofErr w:type="spellStart"/>
      <w:r w:rsidR="00787D76" w:rsidRPr="00787D76">
        <w:rPr>
          <w:rFonts w:cs="Arial"/>
          <w:i/>
          <w:lang w:eastAsia="en-US"/>
        </w:rPr>
        <w:t>FlexibleStartPRB</w:t>
      </w:r>
      <w:proofErr w:type="spellEnd"/>
      <w:r w:rsidR="00787D76" w:rsidRPr="00787D76">
        <w:rPr>
          <w:rFonts w:cs="Arial"/>
          <w:i/>
          <w:lang w:eastAsia="en-US"/>
        </w:rPr>
        <w:t>-</w:t>
      </w:r>
      <w:proofErr w:type="spellStart"/>
      <w:r w:rsidR="00787D76" w:rsidRPr="00787D76">
        <w:rPr>
          <w:rFonts w:cs="Arial"/>
          <w:i/>
          <w:lang w:eastAsia="en-US"/>
        </w:rPr>
        <w:t>AllocConfig</w:t>
      </w:r>
      <w:proofErr w:type="spellEnd"/>
      <w:r w:rsidR="00787D76">
        <w:rPr>
          <w:rFonts w:cs="Arial"/>
          <w:lang w:eastAsia="en-US"/>
        </w:rPr>
        <w:t xml:space="preserve"> is configured then for TDD L_CRB is less than or equal to 5.</w:t>
      </w:r>
      <w:bookmarkEnd w:id="6"/>
    </w:p>
    <w:p w14:paraId="04643D58" w14:textId="2C20CA76" w:rsidR="001845C5" w:rsidRPr="00787D76" w:rsidRDefault="001845C5" w:rsidP="00787D76">
      <w:pPr>
        <w:pStyle w:val="TH"/>
        <w:rPr>
          <w:lang w:val="en-US"/>
        </w:rPr>
      </w:pPr>
      <w:bookmarkStart w:id="7" w:name="_Ref521675976"/>
      <w:r>
        <w:lastRenderedPageBreak/>
        <w:t xml:space="preserve">Table </w:t>
      </w:r>
      <w:r w:rsidR="00014B59">
        <w:rPr>
          <w:noProof/>
        </w:rPr>
        <w:fldChar w:fldCharType="begin"/>
      </w:r>
      <w:r w:rsidR="00014B59">
        <w:rPr>
          <w:noProof/>
        </w:rPr>
        <w:instrText xml:space="preserve"> SEQ Table \* ARABIC </w:instrText>
      </w:r>
      <w:r w:rsidR="00014B59">
        <w:rPr>
          <w:noProof/>
        </w:rPr>
        <w:fldChar w:fldCharType="separate"/>
      </w:r>
      <w:r w:rsidR="00F12F5B">
        <w:rPr>
          <w:noProof/>
        </w:rPr>
        <w:t>1</w:t>
      </w:r>
      <w:r w:rsidR="00014B59">
        <w:rPr>
          <w:noProof/>
        </w:rPr>
        <w:fldChar w:fldCharType="end"/>
      </w:r>
      <w:bookmarkEnd w:id="7"/>
      <w:r w:rsidR="00787D76" w:rsidRPr="00787D76">
        <w:rPr>
          <w:lang w:val="en-US"/>
        </w:rPr>
        <w:t>: Size of resource allocation field</w:t>
      </w:r>
      <w:r w:rsidR="00787D76">
        <w:rPr>
          <w:lang w:val="en-US"/>
        </w:rPr>
        <w:t>.</w:t>
      </w:r>
    </w:p>
    <w:tbl>
      <w:tblPr>
        <w:tblStyle w:val="TableGrid"/>
        <w:tblW w:w="8500" w:type="dxa"/>
        <w:jc w:val="center"/>
        <w:tblLayout w:type="fixed"/>
        <w:tblLook w:val="04A0" w:firstRow="1" w:lastRow="0" w:firstColumn="1" w:lastColumn="0" w:noHBand="0" w:noVBand="1"/>
      </w:tblPr>
      <w:tblGrid>
        <w:gridCol w:w="786"/>
        <w:gridCol w:w="483"/>
        <w:gridCol w:w="1807"/>
        <w:gridCol w:w="1808"/>
        <w:gridCol w:w="1808"/>
        <w:gridCol w:w="1808"/>
      </w:tblGrid>
      <w:tr w:rsidR="00EF0676" w:rsidRPr="0099639D" w14:paraId="71CADED7" w14:textId="77777777" w:rsidTr="00EF0676">
        <w:trPr>
          <w:trHeight w:val="290"/>
          <w:jc w:val="center"/>
        </w:trPr>
        <w:tc>
          <w:tcPr>
            <w:tcW w:w="786" w:type="dxa"/>
            <w:vMerge w:val="restart"/>
            <w:shd w:val="clear" w:color="auto" w:fill="767171" w:themeFill="background2" w:themeFillShade="80"/>
            <w:noWrap/>
            <w:vAlign w:val="center"/>
          </w:tcPr>
          <w:p w14:paraId="6D1934EC"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r w:rsidRPr="00C161E6">
              <w:rPr>
                <w:rFonts w:ascii="Arial" w:hAnsi="Arial" w:cs="Arial"/>
                <w:b/>
                <w:color w:val="FFFFFF" w:themeColor="background1"/>
                <w:sz w:val="16"/>
                <w:szCs w:val="16"/>
              </w:rPr>
              <w:t xml:space="preserve">System BW </w:t>
            </w:r>
            <w:r w:rsidRPr="00C161E6">
              <w:rPr>
                <w:rFonts w:ascii="Arial" w:hAnsi="Arial" w:cs="Arial"/>
                <w:b/>
                <w:color w:val="FFFFFF" w:themeColor="background1"/>
                <w:sz w:val="16"/>
                <w:szCs w:val="16"/>
              </w:rPr>
              <w:br/>
              <w:t>[MHz]</w:t>
            </w:r>
          </w:p>
        </w:tc>
        <w:tc>
          <w:tcPr>
            <w:tcW w:w="483" w:type="dxa"/>
            <w:vMerge w:val="restart"/>
            <w:shd w:val="clear" w:color="auto" w:fill="767171" w:themeFill="background2" w:themeFillShade="80"/>
            <w:noWrap/>
            <w:vAlign w:val="center"/>
          </w:tcPr>
          <w:p w14:paraId="7B1037AB"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r w:rsidRPr="00C161E6">
              <w:rPr>
                <w:rFonts w:ascii="Arial" w:hAnsi="Arial" w:cs="Arial"/>
                <w:b/>
                <w:color w:val="FFFFFF" w:themeColor="background1"/>
                <w:sz w:val="16"/>
                <w:szCs w:val="16"/>
              </w:rPr>
              <w:t>N</w:t>
            </w:r>
          </w:p>
        </w:tc>
        <w:tc>
          <w:tcPr>
            <w:tcW w:w="1807" w:type="dxa"/>
            <w:shd w:val="clear" w:color="auto" w:fill="767171" w:themeFill="background2" w:themeFillShade="80"/>
            <w:noWrap/>
            <w:vAlign w:val="center"/>
          </w:tcPr>
          <w:p w14:paraId="383497BA"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r>
              <w:rPr>
                <w:rFonts w:ascii="Arial" w:hAnsi="Arial" w:cs="Arial"/>
                <w:b/>
                <w:color w:val="FFFFFF" w:themeColor="background1"/>
                <w:sz w:val="16"/>
                <w:szCs w:val="16"/>
              </w:rPr>
              <w:t>Current F</w:t>
            </w:r>
            <w:r w:rsidRPr="00C161E6">
              <w:rPr>
                <w:rFonts w:ascii="Arial" w:hAnsi="Arial" w:cs="Arial"/>
                <w:b/>
                <w:color w:val="FFFFFF" w:themeColor="background1"/>
                <w:sz w:val="16"/>
                <w:szCs w:val="16"/>
              </w:rPr>
              <w:t>DD</w:t>
            </w:r>
          </w:p>
        </w:tc>
        <w:tc>
          <w:tcPr>
            <w:tcW w:w="1808" w:type="dxa"/>
            <w:shd w:val="clear" w:color="auto" w:fill="767171" w:themeFill="background2" w:themeFillShade="80"/>
            <w:vAlign w:val="center"/>
          </w:tcPr>
          <w:p w14:paraId="54AD971B"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r>
              <w:rPr>
                <w:rFonts w:ascii="Arial" w:hAnsi="Arial" w:cs="Arial"/>
                <w:b/>
                <w:color w:val="FFFFFF" w:themeColor="background1"/>
                <w:sz w:val="16"/>
                <w:szCs w:val="16"/>
              </w:rPr>
              <w:t>Current T</w:t>
            </w:r>
            <w:r w:rsidRPr="00C161E6">
              <w:rPr>
                <w:rFonts w:ascii="Arial" w:hAnsi="Arial" w:cs="Arial"/>
                <w:b/>
                <w:color w:val="FFFFFF" w:themeColor="background1"/>
                <w:sz w:val="16"/>
                <w:szCs w:val="16"/>
              </w:rPr>
              <w:t>DD</w:t>
            </w:r>
          </w:p>
        </w:tc>
        <w:tc>
          <w:tcPr>
            <w:tcW w:w="1808" w:type="dxa"/>
            <w:shd w:val="clear" w:color="auto" w:fill="767171" w:themeFill="background2" w:themeFillShade="80"/>
            <w:noWrap/>
            <w:vAlign w:val="center"/>
          </w:tcPr>
          <w:p w14:paraId="228ACD2A"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r w:rsidRPr="00C161E6">
              <w:rPr>
                <w:rFonts w:ascii="Arial" w:hAnsi="Arial" w:cs="Arial"/>
                <w:b/>
                <w:color w:val="FFFFFF" w:themeColor="background1"/>
                <w:sz w:val="16"/>
                <w:szCs w:val="16"/>
              </w:rPr>
              <w:t>FDD with current RIV</w:t>
            </w:r>
          </w:p>
        </w:tc>
        <w:tc>
          <w:tcPr>
            <w:tcW w:w="1808" w:type="dxa"/>
            <w:shd w:val="clear" w:color="auto" w:fill="767171" w:themeFill="background2" w:themeFillShade="80"/>
            <w:noWrap/>
            <w:vAlign w:val="center"/>
          </w:tcPr>
          <w:p w14:paraId="41ED7C61"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r w:rsidRPr="00C161E6">
              <w:rPr>
                <w:rFonts w:ascii="Arial" w:hAnsi="Arial" w:cs="Arial"/>
                <w:b/>
                <w:color w:val="FFFFFF" w:themeColor="background1"/>
                <w:sz w:val="16"/>
                <w:szCs w:val="16"/>
              </w:rPr>
              <w:t>TDD with current RIV</w:t>
            </w:r>
          </w:p>
        </w:tc>
      </w:tr>
      <w:tr w:rsidR="00EF0676" w:rsidRPr="0099639D" w14:paraId="4F7FFB18" w14:textId="77777777" w:rsidTr="00EF0676">
        <w:trPr>
          <w:trHeight w:val="290"/>
          <w:jc w:val="center"/>
        </w:trPr>
        <w:tc>
          <w:tcPr>
            <w:tcW w:w="786" w:type="dxa"/>
            <w:vMerge/>
            <w:shd w:val="clear" w:color="auto" w:fill="767171" w:themeFill="background2" w:themeFillShade="80"/>
            <w:noWrap/>
            <w:vAlign w:val="center"/>
            <w:hideMark/>
          </w:tcPr>
          <w:p w14:paraId="0ED3DC10"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p>
        </w:tc>
        <w:tc>
          <w:tcPr>
            <w:tcW w:w="483" w:type="dxa"/>
            <w:vMerge/>
            <w:shd w:val="clear" w:color="auto" w:fill="767171" w:themeFill="background2" w:themeFillShade="80"/>
            <w:noWrap/>
            <w:vAlign w:val="center"/>
            <w:hideMark/>
          </w:tcPr>
          <w:p w14:paraId="70AE1253"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p>
        </w:tc>
        <w:tc>
          <w:tcPr>
            <w:tcW w:w="1807" w:type="dxa"/>
            <w:shd w:val="clear" w:color="auto" w:fill="767171" w:themeFill="background2" w:themeFillShade="80"/>
            <w:noWrap/>
            <w:vAlign w:val="center"/>
            <w:hideMark/>
          </w:tcPr>
          <w:p w14:paraId="6101E30D" w14:textId="2C485B83" w:rsidR="00EF0676" w:rsidRPr="00C161E6" w:rsidRDefault="00EF0676" w:rsidP="00706B85">
            <w:pPr>
              <w:keepNext/>
              <w:keepLines/>
              <w:spacing w:before="60" w:after="60"/>
              <w:jc w:val="center"/>
              <w:rPr>
                <w:rFonts w:ascii="Arial" w:hAnsi="Arial" w:cs="Arial"/>
                <w:b/>
                <w:color w:val="FFFFFF" w:themeColor="background1"/>
                <w:sz w:val="16"/>
                <w:szCs w:val="16"/>
              </w:rPr>
            </w:pPr>
            <w:r w:rsidRPr="00C161E6">
              <w:rPr>
                <w:rFonts w:ascii="Arial" w:hAnsi="Arial" w:cs="Arial"/>
                <w:b/>
                <w:color w:val="FFFFFF" w:themeColor="background1"/>
                <w:sz w:val="16"/>
                <w:szCs w:val="16"/>
              </w:rPr>
              <w:t>ceil(log(floor(N/6</w:t>
            </w:r>
            <w:proofErr w:type="gramStart"/>
            <w:r w:rsidRPr="00C161E6">
              <w:rPr>
                <w:rFonts w:ascii="Arial" w:hAnsi="Arial" w:cs="Arial"/>
                <w:b/>
                <w:color w:val="FFFFFF" w:themeColor="background1"/>
                <w:sz w:val="16"/>
                <w:szCs w:val="16"/>
              </w:rPr>
              <w:t>))+</w:t>
            </w:r>
            <w:proofErr w:type="gramEnd"/>
            <w:r w:rsidRPr="00C161E6">
              <w:rPr>
                <w:rFonts w:ascii="Arial" w:hAnsi="Arial" w:cs="Arial"/>
                <w:b/>
                <w:color w:val="FFFFFF" w:themeColor="background1"/>
                <w:sz w:val="16"/>
                <w:szCs w:val="16"/>
              </w:rPr>
              <w:t>6</w:t>
            </w:r>
          </w:p>
        </w:tc>
        <w:tc>
          <w:tcPr>
            <w:tcW w:w="1808" w:type="dxa"/>
            <w:shd w:val="clear" w:color="auto" w:fill="767171" w:themeFill="background2" w:themeFillShade="80"/>
            <w:vAlign w:val="center"/>
          </w:tcPr>
          <w:p w14:paraId="20704EF4" w14:textId="6746C1A4" w:rsidR="00EF0676" w:rsidRPr="00C161E6" w:rsidRDefault="00EF0676" w:rsidP="00706B85">
            <w:pPr>
              <w:keepNext/>
              <w:keepLines/>
              <w:spacing w:before="60" w:after="60"/>
              <w:jc w:val="center"/>
              <w:rPr>
                <w:rFonts w:ascii="Arial" w:hAnsi="Arial" w:cs="Arial"/>
                <w:b/>
                <w:color w:val="FFFFFF" w:themeColor="background1"/>
                <w:sz w:val="16"/>
                <w:szCs w:val="16"/>
              </w:rPr>
            </w:pPr>
            <w:r w:rsidRPr="00C161E6">
              <w:rPr>
                <w:rFonts w:ascii="Arial" w:hAnsi="Arial" w:cs="Arial"/>
                <w:b/>
                <w:color w:val="FFFFFF" w:themeColor="background1"/>
                <w:sz w:val="16"/>
                <w:szCs w:val="16"/>
              </w:rPr>
              <w:t>ceil(log(floor(N/6</w:t>
            </w:r>
            <w:proofErr w:type="gramStart"/>
            <w:r w:rsidRPr="00C161E6">
              <w:rPr>
                <w:rFonts w:ascii="Arial" w:hAnsi="Arial" w:cs="Arial"/>
                <w:b/>
                <w:color w:val="FFFFFF" w:themeColor="background1"/>
                <w:sz w:val="16"/>
                <w:szCs w:val="16"/>
              </w:rPr>
              <w:t>))+</w:t>
            </w:r>
            <w:proofErr w:type="gramEnd"/>
            <w:r w:rsidRPr="00C161E6">
              <w:rPr>
                <w:rFonts w:ascii="Arial" w:hAnsi="Arial" w:cs="Arial"/>
                <w:b/>
                <w:color w:val="FFFFFF" w:themeColor="background1"/>
                <w:sz w:val="16"/>
                <w:szCs w:val="16"/>
              </w:rPr>
              <w:t>5</w:t>
            </w:r>
          </w:p>
        </w:tc>
        <w:tc>
          <w:tcPr>
            <w:tcW w:w="1808" w:type="dxa"/>
            <w:shd w:val="clear" w:color="auto" w:fill="767171" w:themeFill="background2" w:themeFillShade="80"/>
            <w:noWrap/>
            <w:vAlign w:val="center"/>
            <w:hideMark/>
          </w:tcPr>
          <w:p w14:paraId="0F91A955"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r w:rsidRPr="00C161E6">
              <w:rPr>
                <w:rFonts w:ascii="Arial" w:hAnsi="Arial" w:cs="Arial"/>
                <w:b/>
                <w:color w:val="FFFFFF" w:themeColor="background1"/>
                <w:sz w:val="16"/>
                <w:szCs w:val="16"/>
              </w:rPr>
              <w:t>ceil(log(6*N-1)</w:t>
            </w:r>
          </w:p>
        </w:tc>
        <w:tc>
          <w:tcPr>
            <w:tcW w:w="1808" w:type="dxa"/>
            <w:shd w:val="clear" w:color="auto" w:fill="767171" w:themeFill="background2" w:themeFillShade="80"/>
            <w:noWrap/>
            <w:vAlign w:val="center"/>
            <w:hideMark/>
          </w:tcPr>
          <w:p w14:paraId="6219C851" w14:textId="77777777" w:rsidR="00EF0676" w:rsidRPr="00C161E6" w:rsidRDefault="00EF0676" w:rsidP="00706B85">
            <w:pPr>
              <w:keepNext/>
              <w:keepLines/>
              <w:spacing w:before="60" w:after="60"/>
              <w:jc w:val="center"/>
              <w:rPr>
                <w:rFonts w:ascii="Arial" w:hAnsi="Arial" w:cs="Arial"/>
                <w:b/>
                <w:color w:val="FFFFFF" w:themeColor="background1"/>
                <w:sz w:val="16"/>
                <w:szCs w:val="16"/>
              </w:rPr>
            </w:pPr>
            <w:r w:rsidRPr="00C161E6">
              <w:rPr>
                <w:rFonts w:ascii="Arial" w:hAnsi="Arial" w:cs="Arial"/>
                <w:b/>
                <w:color w:val="FFFFFF" w:themeColor="background1"/>
                <w:sz w:val="16"/>
                <w:szCs w:val="16"/>
              </w:rPr>
              <w:t>ceil(log(5*N-1)</w:t>
            </w:r>
          </w:p>
        </w:tc>
      </w:tr>
      <w:tr w:rsidR="00EF0676" w:rsidRPr="0099639D" w14:paraId="77A99896" w14:textId="77777777" w:rsidTr="00EF0676">
        <w:trPr>
          <w:trHeight w:val="290"/>
          <w:jc w:val="center"/>
        </w:trPr>
        <w:tc>
          <w:tcPr>
            <w:tcW w:w="786" w:type="dxa"/>
            <w:noWrap/>
            <w:vAlign w:val="center"/>
            <w:hideMark/>
          </w:tcPr>
          <w:p w14:paraId="7BD0B8EF"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1.4</w:t>
            </w:r>
          </w:p>
        </w:tc>
        <w:tc>
          <w:tcPr>
            <w:tcW w:w="483" w:type="dxa"/>
            <w:noWrap/>
            <w:vAlign w:val="center"/>
            <w:hideMark/>
          </w:tcPr>
          <w:p w14:paraId="11539446"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6</w:t>
            </w:r>
          </w:p>
        </w:tc>
        <w:tc>
          <w:tcPr>
            <w:tcW w:w="1807" w:type="dxa"/>
            <w:shd w:val="clear" w:color="auto" w:fill="E2EFD9" w:themeFill="accent6" w:themeFillTint="33"/>
            <w:noWrap/>
            <w:vAlign w:val="center"/>
            <w:hideMark/>
          </w:tcPr>
          <w:p w14:paraId="4E6C0730"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6</w:t>
            </w:r>
          </w:p>
        </w:tc>
        <w:tc>
          <w:tcPr>
            <w:tcW w:w="1808" w:type="dxa"/>
            <w:shd w:val="clear" w:color="auto" w:fill="E2EFD9" w:themeFill="accent6" w:themeFillTint="33"/>
            <w:vAlign w:val="center"/>
          </w:tcPr>
          <w:p w14:paraId="215C9A66"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5</w:t>
            </w:r>
          </w:p>
        </w:tc>
        <w:tc>
          <w:tcPr>
            <w:tcW w:w="1808" w:type="dxa"/>
            <w:shd w:val="clear" w:color="auto" w:fill="D9E2F3" w:themeFill="accent1" w:themeFillTint="33"/>
            <w:noWrap/>
            <w:vAlign w:val="center"/>
            <w:hideMark/>
          </w:tcPr>
          <w:p w14:paraId="789C0C59"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5</w:t>
            </w:r>
          </w:p>
        </w:tc>
        <w:tc>
          <w:tcPr>
            <w:tcW w:w="1808" w:type="dxa"/>
            <w:shd w:val="clear" w:color="auto" w:fill="D9E2F3" w:themeFill="accent1" w:themeFillTint="33"/>
            <w:noWrap/>
            <w:vAlign w:val="center"/>
            <w:hideMark/>
          </w:tcPr>
          <w:p w14:paraId="1592B59C"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5</w:t>
            </w:r>
          </w:p>
        </w:tc>
      </w:tr>
      <w:tr w:rsidR="00EF0676" w:rsidRPr="0099639D" w14:paraId="6C8231EA" w14:textId="77777777" w:rsidTr="00EF0676">
        <w:trPr>
          <w:trHeight w:val="290"/>
          <w:jc w:val="center"/>
        </w:trPr>
        <w:tc>
          <w:tcPr>
            <w:tcW w:w="786" w:type="dxa"/>
            <w:noWrap/>
            <w:vAlign w:val="center"/>
            <w:hideMark/>
          </w:tcPr>
          <w:p w14:paraId="404FADAD"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3</w:t>
            </w:r>
          </w:p>
        </w:tc>
        <w:tc>
          <w:tcPr>
            <w:tcW w:w="483" w:type="dxa"/>
            <w:noWrap/>
            <w:vAlign w:val="center"/>
            <w:hideMark/>
          </w:tcPr>
          <w:p w14:paraId="4BC69100"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15</w:t>
            </w:r>
          </w:p>
        </w:tc>
        <w:tc>
          <w:tcPr>
            <w:tcW w:w="1807" w:type="dxa"/>
            <w:shd w:val="clear" w:color="auto" w:fill="E2EFD9" w:themeFill="accent6" w:themeFillTint="33"/>
            <w:noWrap/>
            <w:vAlign w:val="center"/>
            <w:hideMark/>
          </w:tcPr>
          <w:p w14:paraId="1BB58DF6"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7</w:t>
            </w:r>
          </w:p>
        </w:tc>
        <w:tc>
          <w:tcPr>
            <w:tcW w:w="1808" w:type="dxa"/>
            <w:shd w:val="clear" w:color="auto" w:fill="E2EFD9" w:themeFill="accent6" w:themeFillTint="33"/>
            <w:vAlign w:val="center"/>
          </w:tcPr>
          <w:p w14:paraId="1F13CB7E"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6</w:t>
            </w:r>
          </w:p>
        </w:tc>
        <w:tc>
          <w:tcPr>
            <w:tcW w:w="1808" w:type="dxa"/>
            <w:shd w:val="clear" w:color="auto" w:fill="D9E2F3" w:themeFill="accent1" w:themeFillTint="33"/>
            <w:noWrap/>
            <w:vAlign w:val="center"/>
            <w:hideMark/>
          </w:tcPr>
          <w:p w14:paraId="5572724B"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7</w:t>
            </w:r>
          </w:p>
        </w:tc>
        <w:tc>
          <w:tcPr>
            <w:tcW w:w="1808" w:type="dxa"/>
            <w:shd w:val="clear" w:color="auto" w:fill="D9E2F3" w:themeFill="accent1" w:themeFillTint="33"/>
            <w:noWrap/>
            <w:vAlign w:val="center"/>
            <w:hideMark/>
          </w:tcPr>
          <w:p w14:paraId="22979910"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7</w:t>
            </w:r>
          </w:p>
        </w:tc>
      </w:tr>
      <w:tr w:rsidR="00EF0676" w:rsidRPr="0099639D" w14:paraId="71322BF2" w14:textId="77777777" w:rsidTr="00EF0676">
        <w:trPr>
          <w:trHeight w:val="290"/>
          <w:jc w:val="center"/>
        </w:trPr>
        <w:tc>
          <w:tcPr>
            <w:tcW w:w="786" w:type="dxa"/>
            <w:noWrap/>
            <w:vAlign w:val="center"/>
            <w:hideMark/>
          </w:tcPr>
          <w:p w14:paraId="59C1C1BC"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5</w:t>
            </w:r>
          </w:p>
        </w:tc>
        <w:tc>
          <w:tcPr>
            <w:tcW w:w="483" w:type="dxa"/>
            <w:noWrap/>
            <w:vAlign w:val="center"/>
            <w:hideMark/>
          </w:tcPr>
          <w:p w14:paraId="79324081"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25</w:t>
            </w:r>
          </w:p>
        </w:tc>
        <w:tc>
          <w:tcPr>
            <w:tcW w:w="1807" w:type="dxa"/>
            <w:shd w:val="clear" w:color="auto" w:fill="E2EFD9" w:themeFill="accent6" w:themeFillTint="33"/>
            <w:noWrap/>
            <w:vAlign w:val="center"/>
            <w:hideMark/>
          </w:tcPr>
          <w:p w14:paraId="17E194B2"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8</w:t>
            </w:r>
          </w:p>
        </w:tc>
        <w:tc>
          <w:tcPr>
            <w:tcW w:w="1808" w:type="dxa"/>
            <w:shd w:val="clear" w:color="auto" w:fill="E2EFD9" w:themeFill="accent6" w:themeFillTint="33"/>
            <w:vAlign w:val="center"/>
          </w:tcPr>
          <w:p w14:paraId="44121FA5"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7</w:t>
            </w:r>
          </w:p>
        </w:tc>
        <w:tc>
          <w:tcPr>
            <w:tcW w:w="1808" w:type="dxa"/>
            <w:shd w:val="clear" w:color="auto" w:fill="D9E2F3" w:themeFill="accent1" w:themeFillTint="33"/>
            <w:noWrap/>
            <w:vAlign w:val="center"/>
            <w:hideMark/>
          </w:tcPr>
          <w:p w14:paraId="0654D283"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8</w:t>
            </w:r>
          </w:p>
        </w:tc>
        <w:tc>
          <w:tcPr>
            <w:tcW w:w="1808" w:type="dxa"/>
            <w:shd w:val="clear" w:color="auto" w:fill="D9E2F3" w:themeFill="accent1" w:themeFillTint="33"/>
            <w:noWrap/>
            <w:vAlign w:val="center"/>
            <w:hideMark/>
          </w:tcPr>
          <w:p w14:paraId="7F1CAFB2"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7</w:t>
            </w:r>
          </w:p>
        </w:tc>
      </w:tr>
      <w:tr w:rsidR="00EF0676" w:rsidRPr="0099639D" w14:paraId="0265B073" w14:textId="77777777" w:rsidTr="00EF0676">
        <w:trPr>
          <w:trHeight w:val="290"/>
          <w:jc w:val="center"/>
        </w:trPr>
        <w:tc>
          <w:tcPr>
            <w:tcW w:w="786" w:type="dxa"/>
            <w:noWrap/>
            <w:vAlign w:val="center"/>
            <w:hideMark/>
          </w:tcPr>
          <w:p w14:paraId="2CCCC67F"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10</w:t>
            </w:r>
          </w:p>
        </w:tc>
        <w:tc>
          <w:tcPr>
            <w:tcW w:w="483" w:type="dxa"/>
            <w:noWrap/>
            <w:vAlign w:val="center"/>
            <w:hideMark/>
          </w:tcPr>
          <w:p w14:paraId="46E7B90C"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50</w:t>
            </w:r>
          </w:p>
        </w:tc>
        <w:tc>
          <w:tcPr>
            <w:tcW w:w="1807" w:type="dxa"/>
            <w:shd w:val="clear" w:color="auto" w:fill="E2EFD9" w:themeFill="accent6" w:themeFillTint="33"/>
            <w:noWrap/>
            <w:vAlign w:val="center"/>
            <w:hideMark/>
          </w:tcPr>
          <w:p w14:paraId="42B2E311"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9</w:t>
            </w:r>
          </w:p>
        </w:tc>
        <w:tc>
          <w:tcPr>
            <w:tcW w:w="1808" w:type="dxa"/>
            <w:shd w:val="clear" w:color="auto" w:fill="E2EFD9" w:themeFill="accent6" w:themeFillTint="33"/>
            <w:vAlign w:val="center"/>
          </w:tcPr>
          <w:p w14:paraId="63BDD79E"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8</w:t>
            </w:r>
          </w:p>
        </w:tc>
        <w:tc>
          <w:tcPr>
            <w:tcW w:w="1808" w:type="dxa"/>
            <w:shd w:val="clear" w:color="auto" w:fill="D9E2F3" w:themeFill="accent1" w:themeFillTint="33"/>
            <w:noWrap/>
            <w:vAlign w:val="center"/>
            <w:hideMark/>
          </w:tcPr>
          <w:p w14:paraId="0505BD71"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9</w:t>
            </w:r>
          </w:p>
        </w:tc>
        <w:tc>
          <w:tcPr>
            <w:tcW w:w="1808" w:type="dxa"/>
            <w:shd w:val="clear" w:color="auto" w:fill="D9E2F3" w:themeFill="accent1" w:themeFillTint="33"/>
            <w:noWrap/>
            <w:vAlign w:val="center"/>
            <w:hideMark/>
          </w:tcPr>
          <w:p w14:paraId="484140E3"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8</w:t>
            </w:r>
          </w:p>
        </w:tc>
      </w:tr>
      <w:tr w:rsidR="00EF0676" w:rsidRPr="0099639D" w14:paraId="52AEDA17" w14:textId="77777777" w:rsidTr="00EF0676">
        <w:trPr>
          <w:trHeight w:val="290"/>
          <w:jc w:val="center"/>
        </w:trPr>
        <w:tc>
          <w:tcPr>
            <w:tcW w:w="786" w:type="dxa"/>
            <w:noWrap/>
            <w:vAlign w:val="center"/>
            <w:hideMark/>
          </w:tcPr>
          <w:p w14:paraId="122ED285"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15</w:t>
            </w:r>
          </w:p>
        </w:tc>
        <w:tc>
          <w:tcPr>
            <w:tcW w:w="483" w:type="dxa"/>
            <w:noWrap/>
            <w:vAlign w:val="center"/>
            <w:hideMark/>
          </w:tcPr>
          <w:p w14:paraId="294EE846"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75</w:t>
            </w:r>
          </w:p>
        </w:tc>
        <w:tc>
          <w:tcPr>
            <w:tcW w:w="1807" w:type="dxa"/>
            <w:shd w:val="clear" w:color="auto" w:fill="E2EFD9" w:themeFill="accent6" w:themeFillTint="33"/>
            <w:noWrap/>
            <w:vAlign w:val="center"/>
            <w:hideMark/>
          </w:tcPr>
          <w:p w14:paraId="53319980"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10</w:t>
            </w:r>
          </w:p>
        </w:tc>
        <w:tc>
          <w:tcPr>
            <w:tcW w:w="1808" w:type="dxa"/>
            <w:shd w:val="clear" w:color="auto" w:fill="E2EFD9" w:themeFill="accent6" w:themeFillTint="33"/>
            <w:vAlign w:val="center"/>
          </w:tcPr>
          <w:p w14:paraId="30DA95B3"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9</w:t>
            </w:r>
          </w:p>
        </w:tc>
        <w:tc>
          <w:tcPr>
            <w:tcW w:w="1808" w:type="dxa"/>
            <w:shd w:val="clear" w:color="auto" w:fill="D9E2F3" w:themeFill="accent1" w:themeFillTint="33"/>
            <w:noWrap/>
            <w:vAlign w:val="center"/>
            <w:hideMark/>
          </w:tcPr>
          <w:p w14:paraId="4CADB178"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9</w:t>
            </w:r>
          </w:p>
        </w:tc>
        <w:tc>
          <w:tcPr>
            <w:tcW w:w="1808" w:type="dxa"/>
            <w:shd w:val="clear" w:color="auto" w:fill="D9E2F3" w:themeFill="accent1" w:themeFillTint="33"/>
            <w:noWrap/>
            <w:vAlign w:val="center"/>
            <w:hideMark/>
          </w:tcPr>
          <w:p w14:paraId="3E7E2056"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9</w:t>
            </w:r>
          </w:p>
        </w:tc>
      </w:tr>
      <w:tr w:rsidR="00EF0676" w:rsidRPr="0099639D" w14:paraId="3384ACD8" w14:textId="77777777" w:rsidTr="00EF0676">
        <w:trPr>
          <w:trHeight w:val="290"/>
          <w:jc w:val="center"/>
        </w:trPr>
        <w:tc>
          <w:tcPr>
            <w:tcW w:w="786" w:type="dxa"/>
            <w:noWrap/>
            <w:vAlign w:val="center"/>
            <w:hideMark/>
          </w:tcPr>
          <w:p w14:paraId="18F185FD"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20</w:t>
            </w:r>
          </w:p>
        </w:tc>
        <w:tc>
          <w:tcPr>
            <w:tcW w:w="483" w:type="dxa"/>
            <w:noWrap/>
            <w:vAlign w:val="center"/>
            <w:hideMark/>
          </w:tcPr>
          <w:p w14:paraId="04AE0864" w14:textId="77777777" w:rsidR="00EF0676" w:rsidRPr="00C161E6" w:rsidRDefault="00EF0676" w:rsidP="00706B85">
            <w:pPr>
              <w:keepNext/>
              <w:keepLines/>
              <w:spacing w:before="60" w:after="60"/>
              <w:jc w:val="center"/>
              <w:rPr>
                <w:rFonts w:ascii="Arial" w:hAnsi="Arial" w:cs="Arial"/>
                <w:b/>
                <w:sz w:val="16"/>
                <w:szCs w:val="16"/>
              </w:rPr>
            </w:pPr>
            <w:r w:rsidRPr="00C161E6">
              <w:rPr>
                <w:rFonts w:ascii="Arial" w:hAnsi="Arial" w:cs="Arial"/>
                <w:b/>
                <w:sz w:val="16"/>
                <w:szCs w:val="16"/>
              </w:rPr>
              <w:t>100</w:t>
            </w:r>
          </w:p>
        </w:tc>
        <w:tc>
          <w:tcPr>
            <w:tcW w:w="1807" w:type="dxa"/>
            <w:shd w:val="clear" w:color="auto" w:fill="E2EFD9" w:themeFill="accent6" w:themeFillTint="33"/>
            <w:noWrap/>
            <w:vAlign w:val="center"/>
            <w:hideMark/>
          </w:tcPr>
          <w:p w14:paraId="238490C3"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10</w:t>
            </w:r>
          </w:p>
        </w:tc>
        <w:tc>
          <w:tcPr>
            <w:tcW w:w="1808" w:type="dxa"/>
            <w:shd w:val="clear" w:color="auto" w:fill="E2EFD9" w:themeFill="accent6" w:themeFillTint="33"/>
            <w:vAlign w:val="center"/>
          </w:tcPr>
          <w:p w14:paraId="2FB257AA"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9</w:t>
            </w:r>
          </w:p>
        </w:tc>
        <w:tc>
          <w:tcPr>
            <w:tcW w:w="1808" w:type="dxa"/>
            <w:shd w:val="clear" w:color="auto" w:fill="D9E2F3" w:themeFill="accent1" w:themeFillTint="33"/>
            <w:noWrap/>
            <w:vAlign w:val="center"/>
            <w:hideMark/>
          </w:tcPr>
          <w:p w14:paraId="67D9F1E4"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10</w:t>
            </w:r>
          </w:p>
        </w:tc>
        <w:tc>
          <w:tcPr>
            <w:tcW w:w="1808" w:type="dxa"/>
            <w:shd w:val="clear" w:color="auto" w:fill="D9E2F3" w:themeFill="accent1" w:themeFillTint="33"/>
            <w:noWrap/>
            <w:vAlign w:val="center"/>
            <w:hideMark/>
          </w:tcPr>
          <w:p w14:paraId="2F21AF91" w14:textId="77777777" w:rsidR="00EF0676" w:rsidRPr="0099639D" w:rsidRDefault="00EF0676" w:rsidP="00706B85">
            <w:pPr>
              <w:keepNext/>
              <w:keepLines/>
              <w:spacing w:before="60" w:after="60"/>
              <w:jc w:val="center"/>
              <w:rPr>
                <w:rFonts w:ascii="Arial" w:hAnsi="Arial" w:cs="Arial"/>
                <w:sz w:val="16"/>
                <w:szCs w:val="16"/>
              </w:rPr>
            </w:pPr>
            <w:r w:rsidRPr="0099639D">
              <w:rPr>
                <w:rFonts w:ascii="Arial" w:hAnsi="Arial" w:cs="Arial"/>
                <w:sz w:val="16"/>
                <w:szCs w:val="16"/>
              </w:rPr>
              <w:t>9</w:t>
            </w:r>
          </w:p>
        </w:tc>
      </w:tr>
    </w:tbl>
    <w:p w14:paraId="6E4D5186" w14:textId="2B221C3C" w:rsidR="008F221E" w:rsidRPr="00F115E8" w:rsidRDefault="008F221E" w:rsidP="008F221E"/>
    <w:p w14:paraId="068748A6" w14:textId="1291FA56" w:rsidR="008F221E" w:rsidRPr="006E053C" w:rsidRDefault="008F221E" w:rsidP="008F221E">
      <w:pPr>
        <w:pStyle w:val="Heading2"/>
        <w:rPr>
          <w:lang w:val="en-US"/>
        </w:rPr>
      </w:pPr>
      <w:r w:rsidRPr="006E053C">
        <w:rPr>
          <w:lang w:val="en-US"/>
        </w:rPr>
        <w:t>2.</w:t>
      </w:r>
      <w:r w:rsidR="00965470">
        <w:rPr>
          <w:lang w:val="en-US"/>
        </w:rPr>
        <w:t>2</w:t>
      </w:r>
      <w:r w:rsidRPr="006E053C">
        <w:rPr>
          <w:lang w:val="en-US"/>
        </w:rPr>
        <w:tab/>
        <w:t>Frequency hopping</w:t>
      </w:r>
    </w:p>
    <w:p w14:paraId="4B0CECA9" w14:textId="21A214F1" w:rsidR="00A32DEF" w:rsidRPr="00BB5832" w:rsidRDefault="00A32DEF" w:rsidP="00A32DEF">
      <w:pPr>
        <w:rPr>
          <w:rFonts w:ascii="Arial" w:hAnsi="Arial" w:cs="Arial"/>
        </w:rPr>
      </w:pPr>
      <w:r w:rsidRPr="00BB5832">
        <w:rPr>
          <w:rFonts w:ascii="Arial" w:hAnsi="Arial" w:cs="Arial"/>
        </w:rPr>
        <w:t>If frequency hopping is enabled for BL/CE UEs, the same PRB resources within the narrowband are allocated, but the allocated narrowband is modified based on the cell-specific higher layer parameter specifying a narrowband offset for the hopping</w:t>
      </w:r>
      <w:r w:rsidR="00BB5832">
        <w:rPr>
          <w:rFonts w:ascii="Arial" w:hAnsi="Arial" w:cs="Arial"/>
        </w:rPr>
        <w:t xml:space="preserve"> </w:t>
      </w:r>
      <w:r w:rsidR="00BB5832">
        <w:rPr>
          <w:rFonts w:ascii="Arial" w:hAnsi="Arial" w:cs="Arial"/>
        </w:rPr>
        <w:fldChar w:fldCharType="begin"/>
      </w:r>
      <w:r w:rsidR="00BB5832">
        <w:rPr>
          <w:rFonts w:ascii="Arial" w:hAnsi="Arial" w:cs="Arial"/>
        </w:rPr>
        <w:instrText xml:space="preserve"> REF _Ref521662296 \r \h </w:instrText>
      </w:r>
      <w:r w:rsidR="00BB5832">
        <w:rPr>
          <w:rFonts w:ascii="Arial" w:hAnsi="Arial" w:cs="Arial"/>
        </w:rPr>
      </w:r>
      <w:r w:rsidR="00BB5832">
        <w:rPr>
          <w:rFonts w:ascii="Arial" w:hAnsi="Arial" w:cs="Arial"/>
        </w:rPr>
        <w:fldChar w:fldCharType="separate"/>
      </w:r>
      <w:r w:rsidR="00F12F5B">
        <w:rPr>
          <w:rFonts w:ascii="Arial" w:hAnsi="Arial" w:cs="Arial"/>
        </w:rPr>
        <w:t>[2]</w:t>
      </w:r>
      <w:r w:rsidR="00BB5832">
        <w:rPr>
          <w:rFonts w:ascii="Arial" w:hAnsi="Arial" w:cs="Arial"/>
        </w:rPr>
        <w:fldChar w:fldCharType="end"/>
      </w:r>
      <w:r w:rsidRPr="00BB5832">
        <w:rPr>
          <w:rFonts w:ascii="Arial" w:hAnsi="Arial" w:cs="Arial"/>
        </w:rPr>
        <w:t xml:space="preserve">. </w:t>
      </w:r>
      <w:r w:rsidR="000E6A18">
        <w:rPr>
          <w:rFonts w:ascii="Arial" w:hAnsi="Arial" w:cs="Arial"/>
        </w:rPr>
        <w:t xml:space="preserve">In the following, a summary of the discussion from </w:t>
      </w:r>
      <w:r w:rsidR="000E6A18">
        <w:rPr>
          <w:rFonts w:ascii="Arial" w:hAnsi="Arial" w:cs="Arial"/>
        </w:rPr>
        <w:fldChar w:fldCharType="begin"/>
      </w:r>
      <w:r w:rsidR="000E6A18">
        <w:rPr>
          <w:rFonts w:ascii="Arial" w:hAnsi="Arial" w:cs="Arial"/>
        </w:rPr>
        <w:instrText xml:space="preserve"> REF _Ref521675231 \r \h </w:instrText>
      </w:r>
      <w:r w:rsidR="000E6A18">
        <w:rPr>
          <w:rFonts w:ascii="Arial" w:hAnsi="Arial" w:cs="Arial"/>
        </w:rPr>
      </w:r>
      <w:r w:rsidR="000E6A18">
        <w:rPr>
          <w:rFonts w:ascii="Arial" w:hAnsi="Arial" w:cs="Arial"/>
        </w:rPr>
        <w:fldChar w:fldCharType="separate"/>
      </w:r>
      <w:r w:rsidR="00F12F5B">
        <w:rPr>
          <w:rFonts w:ascii="Arial" w:hAnsi="Arial" w:cs="Arial"/>
        </w:rPr>
        <w:t>[5]</w:t>
      </w:r>
      <w:r w:rsidR="000E6A18">
        <w:rPr>
          <w:rFonts w:ascii="Arial" w:hAnsi="Arial" w:cs="Arial"/>
        </w:rPr>
        <w:fldChar w:fldCharType="end"/>
      </w:r>
      <w:r w:rsidR="000E6A18">
        <w:rPr>
          <w:rFonts w:ascii="Arial" w:hAnsi="Arial" w:cs="Arial"/>
        </w:rPr>
        <w:t xml:space="preserve"> on the topic of frequency hopping in the context of flexible PDSCH/PUSCH starting PRB is presented. </w:t>
      </w:r>
    </w:p>
    <w:p w14:paraId="49DFD993" w14:textId="56A1F446" w:rsidR="00A32DEF" w:rsidRDefault="00A32DEF" w:rsidP="00A32DEF">
      <w:pPr>
        <w:pStyle w:val="Heading3"/>
        <w:rPr>
          <w:lang w:eastAsia="zh-CN"/>
        </w:rPr>
      </w:pPr>
      <w:r>
        <w:t>2.</w:t>
      </w:r>
      <w:r w:rsidR="00965470">
        <w:t>2</w:t>
      </w:r>
      <w:r>
        <w:t>.1</w:t>
      </w:r>
      <w:r>
        <w:tab/>
        <w:t>PDSCH</w:t>
      </w:r>
    </w:p>
    <w:p w14:paraId="2BAAAF80" w14:textId="77777777" w:rsidR="00A32DEF" w:rsidRPr="00A32DEF" w:rsidRDefault="00A32DEF" w:rsidP="00A32DEF">
      <w:pPr>
        <w:rPr>
          <w:rFonts w:ascii="Arial" w:hAnsi="Arial" w:cs="Arial"/>
          <w:bCs/>
          <w:iCs/>
        </w:rPr>
      </w:pPr>
      <w:r w:rsidRPr="00A32DEF">
        <w:rPr>
          <w:rFonts w:ascii="Arial" w:hAnsi="Arial" w:cs="Arial"/>
          <w:bCs/>
          <w:iCs/>
        </w:rPr>
        <w:t>To fully utilize the benefits of a flexible resource allocation when using frequency hopping, the downlink resource assignment should be aligned with the resource block groups for both the two narrowbands that is used when hopping.</w:t>
      </w:r>
    </w:p>
    <w:p w14:paraId="4E1B85D6" w14:textId="1E251067" w:rsidR="00A32DEF" w:rsidRDefault="00A32DEF" w:rsidP="00A32DEF">
      <w:pPr>
        <w:pStyle w:val="Heading4"/>
        <w:rPr>
          <w:lang w:eastAsia="zh-CN"/>
        </w:rPr>
      </w:pPr>
      <w:r>
        <w:t>2.</w:t>
      </w:r>
      <w:r w:rsidR="00965470">
        <w:t>2</w:t>
      </w:r>
      <w:r>
        <w:t>.1.1</w:t>
      </w:r>
      <w:r>
        <w:tab/>
        <w:t>CE mode A</w:t>
      </w:r>
    </w:p>
    <w:p w14:paraId="6B951795" w14:textId="77D39297" w:rsidR="00A32DEF" w:rsidRDefault="00A32DEF" w:rsidP="00BB5832">
      <w:pPr>
        <w:rPr>
          <w:rFonts w:ascii="Arial" w:hAnsi="Arial" w:cs="Arial"/>
          <w:bCs/>
          <w:iCs/>
        </w:rPr>
      </w:pPr>
      <w:r w:rsidRPr="00A32DEF">
        <w:rPr>
          <w:rFonts w:ascii="Arial" w:hAnsi="Arial" w:cs="Arial"/>
          <w:bCs/>
          <w:iCs/>
        </w:rPr>
        <w:t xml:space="preserve">The alignment of the RBGs to the narrowbands differs both for different system bandwidths and for the different narrowbands within a system bandwidth, </w:t>
      </w:r>
    </w:p>
    <w:p w14:paraId="2A908690" w14:textId="04244FD2" w:rsidR="000E6A18" w:rsidRDefault="000E6A18" w:rsidP="000E6A18">
      <w:pPr>
        <w:pStyle w:val="TH"/>
        <w:rPr>
          <w:lang w:eastAsia="en-US"/>
        </w:rPr>
      </w:pPr>
      <w:bookmarkStart w:id="8" w:name="_Ref513640592"/>
      <w:r>
        <w:t xml:space="preserve">Table </w:t>
      </w:r>
      <w:r>
        <w:fldChar w:fldCharType="begin"/>
      </w:r>
      <w:r>
        <w:instrText xml:space="preserve"> SEQ Table \* ARABIC </w:instrText>
      </w:r>
      <w:r>
        <w:fldChar w:fldCharType="separate"/>
      </w:r>
      <w:r w:rsidR="00F12F5B">
        <w:rPr>
          <w:noProof/>
        </w:rPr>
        <w:t>2</w:t>
      </w:r>
      <w:r>
        <w:fldChar w:fldCharType="end"/>
      </w:r>
      <w:bookmarkEnd w:id="8"/>
      <w:r>
        <w:t xml:space="preserve">: </w:t>
      </w:r>
      <w:proofErr w:type="spellStart"/>
      <w:r>
        <w:t>Alignment</w:t>
      </w:r>
      <w:proofErr w:type="spellEnd"/>
      <w:r>
        <w:t xml:space="preserve"> </w:t>
      </w:r>
      <w:proofErr w:type="spellStart"/>
      <w:r>
        <w:t>of</w:t>
      </w:r>
      <w:proofErr w:type="spellEnd"/>
      <w:r>
        <w:t xml:space="preserve"> </w:t>
      </w:r>
      <w:proofErr w:type="spellStart"/>
      <w:r>
        <w:t>narrowband</w:t>
      </w:r>
      <w:proofErr w:type="spellEnd"/>
      <w:r>
        <w:t xml:space="preserve"> to </w:t>
      </w:r>
      <w:proofErr w:type="spellStart"/>
      <w:r>
        <w:t>resource</w:t>
      </w:r>
      <w:proofErr w:type="spellEnd"/>
      <w:r>
        <w:t xml:space="preserve"> block </w:t>
      </w:r>
      <w:proofErr w:type="spellStart"/>
      <w:r>
        <w:t>groups</w:t>
      </w:r>
      <w:proofErr w:type="spellEnd"/>
      <w:r>
        <w:t>.</w:t>
      </w:r>
    </w:p>
    <w:tbl>
      <w:tblPr>
        <w:tblStyle w:val="TableGrid"/>
        <w:tblW w:w="9341" w:type="dxa"/>
        <w:jc w:val="center"/>
        <w:tblLook w:val="04A0" w:firstRow="1" w:lastRow="0" w:firstColumn="1" w:lastColumn="0" w:noHBand="0" w:noVBand="1"/>
      </w:tblPr>
      <w:tblGrid>
        <w:gridCol w:w="816"/>
        <w:gridCol w:w="863"/>
        <w:gridCol w:w="677"/>
        <w:gridCol w:w="818"/>
        <w:gridCol w:w="6167"/>
      </w:tblGrid>
      <w:tr w:rsidR="000E6A18" w14:paraId="588CC3E9" w14:textId="77777777" w:rsidTr="000E6A18">
        <w:trPr>
          <w:trHeight w:val="1031"/>
          <w:jc w:val="center"/>
        </w:trPr>
        <w:tc>
          <w:tcPr>
            <w:tcW w:w="816" w:type="dxa"/>
            <w:tcBorders>
              <w:top w:val="double" w:sz="4" w:space="0" w:color="auto"/>
              <w:left w:val="double" w:sz="4" w:space="0" w:color="auto"/>
              <w:bottom w:val="single" w:sz="4" w:space="0" w:color="auto"/>
              <w:right w:val="single" w:sz="4" w:space="0" w:color="auto"/>
            </w:tcBorders>
            <w:shd w:val="clear" w:color="auto" w:fill="D5DCE4" w:themeFill="text2" w:themeFillTint="33"/>
            <w:vAlign w:val="center"/>
            <w:hideMark/>
          </w:tcPr>
          <w:p w14:paraId="05870AB2"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System BW [MHz]</w:t>
            </w:r>
          </w:p>
        </w:tc>
        <w:tc>
          <w:tcPr>
            <w:tcW w:w="863" w:type="dxa"/>
            <w:tcBorders>
              <w:top w:val="doub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8B213F9"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Total number of PRBs</w:t>
            </w:r>
          </w:p>
        </w:tc>
        <w:tc>
          <w:tcPr>
            <w:tcW w:w="677" w:type="dxa"/>
            <w:tcBorders>
              <w:top w:val="doub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2B511F8" w14:textId="77777777" w:rsidR="000E6A18" w:rsidRPr="000E6A18" w:rsidRDefault="000E6A18">
            <w:pPr>
              <w:keepNext/>
              <w:keepLines/>
              <w:spacing w:after="0"/>
              <w:jc w:val="center"/>
              <w:rPr>
                <w:rFonts w:ascii="Arial" w:hAnsi="Arial" w:cs="Arial"/>
                <w:color w:val="000000"/>
                <w:sz w:val="16"/>
                <w:szCs w:val="16"/>
              </w:rPr>
            </w:pPr>
            <w:r w:rsidRPr="000E6A18">
              <w:rPr>
                <w:rFonts w:ascii="Arial" w:hAnsi="Arial" w:cs="Arial"/>
                <w:color w:val="000000"/>
                <w:sz w:val="16"/>
                <w:szCs w:val="16"/>
              </w:rPr>
              <w:t>RBG size</w:t>
            </w:r>
          </w:p>
        </w:tc>
        <w:tc>
          <w:tcPr>
            <w:tcW w:w="818" w:type="dxa"/>
            <w:tcBorders>
              <w:top w:val="double" w:sz="4" w:space="0" w:color="auto"/>
              <w:left w:val="single" w:sz="4" w:space="0" w:color="auto"/>
              <w:bottom w:val="single" w:sz="4" w:space="0" w:color="auto"/>
              <w:right w:val="double" w:sz="4" w:space="0" w:color="auto"/>
            </w:tcBorders>
            <w:shd w:val="clear" w:color="auto" w:fill="D5DCE4" w:themeFill="text2" w:themeFillTint="33"/>
            <w:vAlign w:val="center"/>
            <w:hideMark/>
          </w:tcPr>
          <w:p w14:paraId="077F411F"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Number of NB</w:t>
            </w:r>
          </w:p>
        </w:tc>
        <w:tc>
          <w:tcPr>
            <w:tcW w:w="6167" w:type="dxa"/>
            <w:tcBorders>
              <w:top w:val="double" w:sz="4" w:space="0" w:color="auto"/>
              <w:left w:val="double" w:sz="4" w:space="0" w:color="auto"/>
              <w:bottom w:val="single" w:sz="4" w:space="0" w:color="auto"/>
              <w:right w:val="double" w:sz="4" w:space="0" w:color="auto"/>
            </w:tcBorders>
            <w:shd w:val="clear" w:color="auto" w:fill="D5DCE4" w:themeFill="text2" w:themeFillTint="33"/>
            <w:vAlign w:val="center"/>
            <w:hideMark/>
          </w:tcPr>
          <w:p w14:paraId="37F1F690"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Alignment of narrowband to resource block groups</w:t>
            </w:r>
          </w:p>
        </w:tc>
      </w:tr>
      <w:tr w:rsidR="000E6A18" w14:paraId="7A82E359" w14:textId="77777777" w:rsidTr="000E6A18">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2B449411"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F12287"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6</w:t>
            </w:r>
          </w:p>
        </w:tc>
        <w:tc>
          <w:tcPr>
            <w:tcW w:w="677" w:type="dxa"/>
            <w:tcBorders>
              <w:top w:val="single" w:sz="4" w:space="0" w:color="auto"/>
              <w:left w:val="single" w:sz="4" w:space="0" w:color="auto"/>
              <w:bottom w:val="single" w:sz="4" w:space="0" w:color="auto"/>
              <w:right w:val="single" w:sz="4" w:space="0" w:color="auto"/>
            </w:tcBorders>
            <w:vAlign w:val="center"/>
            <w:hideMark/>
          </w:tcPr>
          <w:p w14:paraId="3DC63A0F" w14:textId="77777777" w:rsidR="000E6A18" w:rsidRPr="000E6A18" w:rsidRDefault="000E6A18">
            <w:pPr>
              <w:keepNext/>
              <w:keepLines/>
              <w:spacing w:after="0"/>
              <w:jc w:val="center"/>
              <w:rPr>
                <w:rFonts w:ascii="Arial" w:hAnsi="Arial" w:cs="Arial"/>
                <w:color w:val="000000"/>
                <w:sz w:val="16"/>
                <w:szCs w:val="16"/>
              </w:rPr>
            </w:pPr>
            <w:r w:rsidRPr="000E6A18">
              <w:rPr>
                <w:rFonts w:ascii="Arial" w:hAnsi="Arial" w:cs="Arial"/>
                <w:color w:val="000000"/>
                <w:sz w:val="16"/>
                <w:szCs w:val="16"/>
              </w:rPr>
              <w:t>1</w:t>
            </w:r>
          </w:p>
        </w:tc>
        <w:tc>
          <w:tcPr>
            <w:tcW w:w="818" w:type="dxa"/>
            <w:tcBorders>
              <w:top w:val="single" w:sz="4" w:space="0" w:color="auto"/>
              <w:left w:val="single" w:sz="4" w:space="0" w:color="auto"/>
              <w:bottom w:val="single" w:sz="4" w:space="0" w:color="auto"/>
              <w:right w:val="double" w:sz="4" w:space="0" w:color="auto"/>
            </w:tcBorders>
            <w:vAlign w:val="center"/>
            <w:hideMark/>
          </w:tcPr>
          <w:p w14:paraId="78AE20F2"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1</w:t>
            </w:r>
          </w:p>
        </w:tc>
        <w:tc>
          <w:tcPr>
            <w:tcW w:w="6167" w:type="dxa"/>
            <w:tcBorders>
              <w:top w:val="single" w:sz="4" w:space="0" w:color="auto"/>
              <w:left w:val="double" w:sz="4" w:space="0" w:color="auto"/>
              <w:bottom w:val="single" w:sz="4" w:space="0" w:color="auto"/>
              <w:right w:val="double" w:sz="4" w:space="0" w:color="auto"/>
            </w:tcBorders>
            <w:vAlign w:val="center"/>
            <w:hideMark/>
          </w:tcPr>
          <w:p w14:paraId="4B32E4DE"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N/A</w:t>
            </w:r>
          </w:p>
        </w:tc>
      </w:tr>
      <w:tr w:rsidR="000E6A18" w14:paraId="0033A742" w14:textId="77777777" w:rsidTr="000E6A18">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0A58D136"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0C5EAC1C"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15</w:t>
            </w:r>
          </w:p>
        </w:tc>
        <w:tc>
          <w:tcPr>
            <w:tcW w:w="677" w:type="dxa"/>
            <w:tcBorders>
              <w:top w:val="single" w:sz="4" w:space="0" w:color="auto"/>
              <w:left w:val="single" w:sz="4" w:space="0" w:color="auto"/>
              <w:bottom w:val="single" w:sz="4" w:space="0" w:color="auto"/>
              <w:right w:val="single" w:sz="4" w:space="0" w:color="auto"/>
            </w:tcBorders>
            <w:vAlign w:val="center"/>
            <w:hideMark/>
          </w:tcPr>
          <w:p w14:paraId="26FD5716" w14:textId="77777777" w:rsidR="000E6A18" w:rsidRPr="000E6A18" w:rsidRDefault="000E6A18">
            <w:pPr>
              <w:keepNext/>
              <w:keepLines/>
              <w:spacing w:after="0"/>
              <w:jc w:val="center"/>
              <w:rPr>
                <w:rFonts w:ascii="Arial" w:hAnsi="Arial" w:cs="Arial"/>
                <w:color w:val="000000"/>
                <w:sz w:val="16"/>
                <w:szCs w:val="16"/>
              </w:rPr>
            </w:pPr>
            <w:r w:rsidRPr="000E6A18">
              <w:rPr>
                <w:rFonts w:ascii="Arial" w:hAnsi="Arial" w:cs="Arial"/>
                <w:color w:val="000000"/>
                <w:sz w:val="16"/>
                <w:szCs w:val="16"/>
              </w:rPr>
              <w:t>2</w:t>
            </w:r>
          </w:p>
        </w:tc>
        <w:tc>
          <w:tcPr>
            <w:tcW w:w="818" w:type="dxa"/>
            <w:tcBorders>
              <w:top w:val="single" w:sz="4" w:space="0" w:color="auto"/>
              <w:left w:val="single" w:sz="4" w:space="0" w:color="auto"/>
              <w:bottom w:val="single" w:sz="4" w:space="0" w:color="auto"/>
              <w:right w:val="double" w:sz="4" w:space="0" w:color="auto"/>
            </w:tcBorders>
            <w:vAlign w:val="center"/>
            <w:hideMark/>
          </w:tcPr>
          <w:p w14:paraId="6002A136"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2</w:t>
            </w:r>
          </w:p>
        </w:tc>
        <w:tc>
          <w:tcPr>
            <w:tcW w:w="6167" w:type="dxa"/>
            <w:tcBorders>
              <w:top w:val="single" w:sz="4" w:space="0" w:color="auto"/>
              <w:left w:val="double" w:sz="4" w:space="0" w:color="auto"/>
              <w:bottom w:val="single" w:sz="4" w:space="0" w:color="auto"/>
              <w:right w:val="double" w:sz="4" w:space="0" w:color="auto"/>
            </w:tcBorders>
            <w:vAlign w:val="center"/>
            <w:hideMark/>
          </w:tcPr>
          <w:p w14:paraId="5FEF73A0"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NB1 is shifted 1 PRB compared to NB0</w:t>
            </w:r>
          </w:p>
        </w:tc>
      </w:tr>
      <w:tr w:rsidR="000E6A18" w14:paraId="47A01AA1" w14:textId="77777777" w:rsidTr="000E6A18">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58A43231"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5</w:t>
            </w:r>
          </w:p>
        </w:tc>
        <w:tc>
          <w:tcPr>
            <w:tcW w:w="863" w:type="dxa"/>
            <w:tcBorders>
              <w:top w:val="single" w:sz="4" w:space="0" w:color="auto"/>
              <w:left w:val="single" w:sz="4" w:space="0" w:color="auto"/>
              <w:bottom w:val="single" w:sz="4" w:space="0" w:color="auto"/>
              <w:right w:val="single" w:sz="4" w:space="0" w:color="auto"/>
            </w:tcBorders>
            <w:vAlign w:val="center"/>
            <w:hideMark/>
          </w:tcPr>
          <w:p w14:paraId="2E2669E1"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25</w:t>
            </w:r>
          </w:p>
        </w:tc>
        <w:tc>
          <w:tcPr>
            <w:tcW w:w="677" w:type="dxa"/>
            <w:tcBorders>
              <w:top w:val="single" w:sz="4" w:space="0" w:color="auto"/>
              <w:left w:val="single" w:sz="4" w:space="0" w:color="auto"/>
              <w:bottom w:val="single" w:sz="4" w:space="0" w:color="auto"/>
              <w:right w:val="single" w:sz="4" w:space="0" w:color="auto"/>
            </w:tcBorders>
            <w:vAlign w:val="center"/>
            <w:hideMark/>
          </w:tcPr>
          <w:p w14:paraId="12B8AA11" w14:textId="77777777" w:rsidR="000E6A18" w:rsidRPr="000E6A18" w:rsidRDefault="000E6A18">
            <w:pPr>
              <w:keepNext/>
              <w:keepLines/>
              <w:spacing w:after="0"/>
              <w:jc w:val="center"/>
              <w:rPr>
                <w:rFonts w:ascii="Arial" w:hAnsi="Arial" w:cs="Arial"/>
                <w:color w:val="000000"/>
                <w:sz w:val="16"/>
                <w:szCs w:val="16"/>
              </w:rPr>
            </w:pPr>
            <w:r w:rsidRPr="000E6A18">
              <w:rPr>
                <w:rFonts w:ascii="Arial" w:hAnsi="Arial" w:cs="Arial"/>
                <w:color w:val="000000"/>
                <w:sz w:val="16"/>
                <w:szCs w:val="16"/>
              </w:rPr>
              <w:t>2</w:t>
            </w:r>
          </w:p>
        </w:tc>
        <w:tc>
          <w:tcPr>
            <w:tcW w:w="818" w:type="dxa"/>
            <w:tcBorders>
              <w:top w:val="single" w:sz="4" w:space="0" w:color="auto"/>
              <w:left w:val="single" w:sz="4" w:space="0" w:color="auto"/>
              <w:bottom w:val="single" w:sz="4" w:space="0" w:color="auto"/>
              <w:right w:val="double" w:sz="4" w:space="0" w:color="auto"/>
            </w:tcBorders>
            <w:vAlign w:val="center"/>
            <w:hideMark/>
          </w:tcPr>
          <w:p w14:paraId="51611309"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4</w:t>
            </w:r>
          </w:p>
        </w:tc>
        <w:tc>
          <w:tcPr>
            <w:tcW w:w="6167" w:type="dxa"/>
            <w:tcBorders>
              <w:top w:val="single" w:sz="4" w:space="0" w:color="auto"/>
              <w:left w:val="double" w:sz="4" w:space="0" w:color="auto"/>
              <w:bottom w:val="single" w:sz="4" w:space="0" w:color="auto"/>
              <w:right w:val="double" w:sz="4" w:space="0" w:color="auto"/>
            </w:tcBorders>
            <w:vAlign w:val="center"/>
            <w:hideMark/>
          </w:tcPr>
          <w:p w14:paraId="14241757"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Upper half group of narrowbands (NB2 and NB3) is shifted 1 PRB compared to lower half group of narrowbands (NB0 and NB1)</w:t>
            </w:r>
          </w:p>
        </w:tc>
      </w:tr>
      <w:tr w:rsidR="000E6A18" w14:paraId="55B0F78C" w14:textId="77777777" w:rsidTr="000E6A18">
        <w:trPr>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642A6AE7"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5406A5"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50</w:t>
            </w:r>
          </w:p>
        </w:tc>
        <w:tc>
          <w:tcPr>
            <w:tcW w:w="677" w:type="dxa"/>
            <w:tcBorders>
              <w:top w:val="single" w:sz="4" w:space="0" w:color="auto"/>
              <w:left w:val="single" w:sz="4" w:space="0" w:color="auto"/>
              <w:bottom w:val="single" w:sz="4" w:space="0" w:color="auto"/>
              <w:right w:val="single" w:sz="4" w:space="0" w:color="auto"/>
            </w:tcBorders>
            <w:vAlign w:val="center"/>
            <w:hideMark/>
          </w:tcPr>
          <w:p w14:paraId="148FC2E8" w14:textId="77777777" w:rsidR="000E6A18" w:rsidRPr="000E6A18" w:rsidRDefault="000E6A18">
            <w:pPr>
              <w:keepNext/>
              <w:keepLines/>
              <w:spacing w:after="0"/>
              <w:jc w:val="center"/>
              <w:rPr>
                <w:rFonts w:ascii="Arial" w:hAnsi="Arial" w:cs="Arial"/>
                <w:color w:val="000000"/>
                <w:sz w:val="16"/>
                <w:szCs w:val="16"/>
              </w:rPr>
            </w:pPr>
            <w:r w:rsidRPr="000E6A18">
              <w:rPr>
                <w:rFonts w:ascii="Arial" w:hAnsi="Arial" w:cs="Arial"/>
                <w:color w:val="000000"/>
                <w:sz w:val="16"/>
                <w:szCs w:val="16"/>
              </w:rPr>
              <w:t>3</w:t>
            </w:r>
          </w:p>
        </w:tc>
        <w:tc>
          <w:tcPr>
            <w:tcW w:w="818" w:type="dxa"/>
            <w:tcBorders>
              <w:top w:val="single" w:sz="4" w:space="0" w:color="auto"/>
              <w:left w:val="single" w:sz="4" w:space="0" w:color="auto"/>
              <w:bottom w:val="single" w:sz="4" w:space="0" w:color="auto"/>
              <w:right w:val="double" w:sz="4" w:space="0" w:color="auto"/>
            </w:tcBorders>
            <w:vAlign w:val="center"/>
            <w:hideMark/>
          </w:tcPr>
          <w:p w14:paraId="6A350563"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8</w:t>
            </w:r>
          </w:p>
        </w:tc>
        <w:tc>
          <w:tcPr>
            <w:tcW w:w="6167" w:type="dxa"/>
            <w:tcBorders>
              <w:top w:val="single" w:sz="4" w:space="0" w:color="auto"/>
              <w:left w:val="double" w:sz="4" w:space="0" w:color="auto"/>
              <w:bottom w:val="single" w:sz="4" w:space="0" w:color="auto"/>
              <w:right w:val="double" w:sz="4" w:space="0" w:color="auto"/>
            </w:tcBorders>
            <w:vAlign w:val="center"/>
            <w:hideMark/>
          </w:tcPr>
          <w:p w14:paraId="0F1C8F45"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All narrowbands have the same alignment to the resource block groups</w:t>
            </w:r>
          </w:p>
        </w:tc>
      </w:tr>
      <w:tr w:rsidR="000E6A18" w14:paraId="04B22109" w14:textId="77777777" w:rsidTr="000E6A18">
        <w:trPr>
          <w:trHeight w:val="70"/>
          <w:jc w:val="center"/>
        </w:trPr>
        <w:tc>
          <w:tcPr>
            <w:tcW w:w="816" w:type="dxa"/>
            <w:tcBorders>
              <w:top w:val="single" w:sz="4" w:space="0" w:color="auto"/>
              <w:left w:val="double" w:sz="4" w:space="0" w:color="auto"/>
              <w:bottom w:val="single" w:sz="4" w:space="0" w:color="auto"/>
              <w:right w:val="single" w:sz="4" w:space="0" w:color="auto"/>
            </w:tcBorders>
            <w:vAlign w:val="center"/>
            <w:hideMark/>
          </w:tcPr>
          <w:p w14:paraId="01159985"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15</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AF26C2"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75</w:t>
            </w:r>
          </w:p>
        </w:tc>
        <w:tc>
          <w:tcPr>
            <w:tcW w:w="677" w:type="dxa"/>
            <w:tcBorders>
              <w:top w:val="single" w:sz="4" w:space="0" w:color="auto"/>
              <w:left w:val="single" w:sz="4" w:space="0" w:color="auto"/>
              <w:bottom w:val="single" w:sz="4" w:space="0" w:color="auto"/>
              <w:right w:val="single" w:sz="4" w:space="0" w:color="auto"/>
            </w:tcBorders>
            <w:vAlign w:val="center"/>
            <w:hideMark/>
          </w:tcPr>
          <w:p w14:paraId="3E6EB718" w14:textId="77777777" w:rsidR="000E6A18" w:rsidRPr="000E6A18" w:rsidRDefault="000E6A18">
            <w:pPr>
              <w:keepNext/>
              <w:keepLines/>
              <w:spacing w:after="0"/>
              <w:jc w:val="center"/>
              <w:rPr>
                <w:rFonts w:ascii="Arial" w:hAnsi="Arial" w:cs="Arial"/>
                <w:color w:val="000000"/>
                <w:sz w:val="16"/>
                <w:szCs w:val="16"/>
              </w:rPr>
            </w:pPr>
            <w:r w:rsidRPr="000E6A18">
              <w:rPr>
                <w:rFonts w:ascii="Arial" w:hAnsi="Arial" w:cs="Arial"/>
                <w:color w:val="000000"/>
                <w:sz w:val="16"/>
                <w:szCs w:val="16"/>
              </w:rPr>
              <w:t>4</w:t>
            </w:r>
          </w:p>
        </w:tc>
        <w:tc>
          <w:tcPr>
            <w:tcW w:w="818" w:type="dxa"/>
            <w:tcBorders>
              <w:top w:val="single" w:sz="4" w:space="0" w:color="auto"/>
              <w:left w:val="single" w:sz="4" w:space="0" w:color="auto"/>
              <w:bottom w:val="single" w:sz="4" w:space="0" w:color="auto"/>
              <w:right w:val="double" w:sz="4" w:space="0" w:color="auto"/>
            </w:tcBorders>
            <w:vAlign w:val="center"/>
            <w:hideMark/>
          </w:tcPr>
          <w:p w14:paraId="3872F829"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12</w:t>
            </w:r>
          </w:p>
        </w:tc>
        <w:tc>
          <w:tcPr>
            <w:tcW w:w="6167" w:type="dxa"/>
            <w:tcBorders>
              <w:top w:val="single" w:sz="4" w:space="0" w:color="auto"/>
              <w:left w:val="double" w:sz="4" w:space="0" w:color="auto"/>
              <w:bottom w:val="single" w:sz="4" w:space="0" w:color="auto"/>
              <w:right w:val="double" w:sz="4" w:space="0" w:color="auto"/>
            </w:tcBorders>
            <w:vAlign w:val="center"/>
            <w:hideMark/>
          </w:tcPr>
          <w:p w14:paraId="2DA7165C"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Upper half group of narrowbands (NB6 to NB11) is shifted 1 PRB compared to lower half group of narrowbands (NB0 to NB5)</w:t>
            </w:r>
          </w:p>
          <w:p w14:paraId="7E119C9D"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Within the lower and upper half of group of narrowbands, a</w:t>
            </w:r>
            <w:r w:rsidRPr="000E6A18">
              <w:rPr>
                <w:rFonts w:ascii="Arial" w:hAnsi="Arial" w:cs="Arial"/>
                <w:sz w:val="16"/>
                <w:szCs w:val="16"/>
              </w:rPr>
              <w:t>ll narrowbands with even index (NB0, NB2, …) have the same alignment to the resource block groups, and all narrowbands with odd index (NB1, NB3, …) have the same alignment to the resource block groups</w:t>
            </w:r>
          </w:p>
        </w:tc>
      </w:tr>
      <w:tr w:rsidR="000E6A18" w14:paraId="50DA33AB" w14:textId="77777777" w:rsidTr="000E6A18">
        <w:trPr>
          <w:jc w:val="center"/>
        </w:trPr>
        <w:tc>
          <w:tcPr>
            <w:tcW w:w="816" w:type="dxa"/>
            <w:tcBorders>
              <w:top w:val="single" w:sz="4" w:space="0" w:color="auto"/>
              <w:left w:val="double" w:sz="4" w:space="0" w:color="auto"/>
              <w:bottom w:val="double" w:sz="4" w:space="0" w:color="auto"/>
              <w:right w:val="single" w:sz="4" w:space="0" w:color="auto"/>
            </w:tcBorders>
            <w:vAlign w:val="center"/>
            <w:hideMark/>
          </w:tcPr>
          <w:p w14:paraId="40A9FC42"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20</w:t>
            </w:r>
          </w:p>
        </w:tc>
        <w:tc>
          <w:tcPr>
            <w:tcW w:w="863" w:type="dxa"/>
            <w:tcBorders>
              <w:top w:val="single" w:sz="4" w:space="0" w:color="auto"/>
              <w:left w:val="single" w:sz="4" w:space="0" w:color="auto"/>
              <w:bottom w:val="double" w:sz="4" w:space="0" w:color="auto"/>
              <w:right w:val="single" w:sz="4" w:space="0" w:color="auto"/>
            </w:tcBorders>
            <w:vAlign w:val="center"/>
            <w:hideMark/>
          </w:tcPr>
          <w:p w14:paraId="543F4D56" w14:textId="77777777" w:rsidR="000E6A18" w:rsidRPr="000E6A18" w:rsidRDefault="000E6A18">
            <w:pPr>
              <w:keepNext/>
              <w:keepLines/>
              <w:spacing w:after="0"/>
              <w:jc w:val="center"/>
              <w:rPr>
                <w:rFonts w:ascii="Arial" w:hAnsi="Arial" w:cs="Arial"/>
                <w:sz w:val="16"/>
                <w:szCs w:val="16"/>
              </w:rPr>
            </w:pPr>
            <w:r w:rsidRPr="000E6A18">
              <w:rPr>
                <w:rFonts w:ascii="Arial" w:hAnsi="Arial" w:cs="Arial"/>
                <w:color w:val="000000"/>
                <w:sz w:val="16"/>
                <w:szCs w:val="16"/>
              </w:rPr>
              <w:t>100</w:t>
            </w:r>
          </w:p>
        </w:tc>
        <w:tc>
          <w:tcPr>
            <w:tcW w:w="677" w:type="dxa"/>
            <w:tcBorders>
              <w:top w:val="single" w:sz="4" w:space="0" w:color="auto"/>
              <w:left w:val="single" w:sz="4" w:space="0" w:color="auto"/>
              <w:bottom w:val="double" w:sz="4" w:space="0" w:color="auto"/>
              <w:right w:val="single" w:sz="4" w:space="0" w:color="auto"/>
            </w:tcBorders>
            <w:vAlign w:val="center"/>
            <w:hideMark/>
          </w:tcPr>
          <w:p w14:paraId="1B86C286" w14:textId="77777777" w:rsidR="000E6A18" w:rsidRPr="000E6A18" w:rsidRDefault="000E6A18">
            <w:pPr>
              <w:keepNext/>
              <w:keepLines/>
              <w:spacing w:after="0"/>
              <w:jc w:val="center"/>
              <w:rPr>
                <w:rFonts w:ascii="Arial" w:hAnsi="Arial" w:cs="Arial"/>
                <w:color w:val="000000"/>
                <w:sz w:val="16"/>
                <w:szCs w:val="16"/>
              </w:rPr>
            </w:pPr>
            <w:r w:rsidRPr="000E6A18">
              <w:rPr>
                <w:rFonts w:ascii="Arial" w:hAnsi="Arial" w:cs="Arial"/>
                <w:color w:val="000000"/>
                <w:sz w:val="16"/>
                <w:szCs w:val="16"/>
              </w:rPr>
              <w:t>4</w:t>
            </w:r>
          </w:p>
        </w:tc>
        <w:tc>
          <w:tcPr>
            <w:tcW w:w="818" w:type="dxa"/>
            <w:tcBorders>
              <w:top w:val="single" w:sz="4" w:space="0" w:color="auto"/>
              <w:left w:val="single" w:sz="4" w:space="0" w:color="auto"/>
              <w:bottom w:val="double" w:sz="4" w:space="0" w:color="auto"/>
              <w:right w:val="double" w:sz="4" w:space="0" w:color="auto"/>
            </w:tcBorders>
            <w:vAlign w:val="center"/>
            <w:hideMark/>
          </w:tcPr>
          <w:p w14:paraId="1BE13FD6"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16</w:t>
            </w:r>
          </w:p>
        </w:tc>
        <w:tc>
          <w:tcPr>
            <w:tcW w:w="6167" w:type="dxa"/>
            <w:tcBorders>
              <w:top w:val="single" w:sz="4" w:space="0" w:color="auto"/>
              <w:left w:val="double" w:sz="4" w:space="0" w:color="auto"/>
              <w:bottom w:val="double" w:sz="4" w:space="0" w:color="auto"/>
              <w:right w:val="double" w:sz="4" w:space="0" w:color="auto"/>
            </w:tcBorders>
            <w:vAlign w:val="center"/>
            <w:hideMark/>
          </w:tcPr>
          <w:p w14:paraId="2B5AAE37" w14:textId="77777777" w:rsidR="000E6A18" w:rsidRPr="000E6A18" w:rsidRDefault="000E6A18">
            <w:pPr>
              <w:keepNext/>
              <w:keepLines/>
              <w:spacing w:after="0"/>
              <w:jc w:val="center"/>
              <w:rPr>
                <w:rFonts w:ascii="Arial" w:hAnsi="Arial" w:cs="Arial"/>
                <w:sz w:val="16"/>
                <w:szCs w:val="16"/>
              </w:rPr>
            </w:pPr>
            <w:r w:rsidRPr="000E6A18">
              <w:rPr>
                <w:rFonts w:ascii="Arial" w:hAnsi="Arial" w:cs="Arial"/>
                <w:sz w:val="16"/>
                <w:szCs w:val="16"/>
              </w:rPr>
              <w:t>All narrowbands with even index (NB0, NB2, …) have the same alignment to the resource block groups, and all narrowbands with odd index (NB1, NB3, …) have the same alignment to the resource block groups</w:t>
            </w:r>
          </w:p>
        </w:tc>
      </w:tr>
    </w:tbl>
    <w:p w14:paraId="0AABA9F0" w14:textId="77777777" w:rsidR="000E6A18" w:rsidRPr="000E6A18" w:rsidRDefault="000E6A18" w:rsidP="00BB5832">
      <w:pPr>
        <w:rPr>
          <w:lang w:eastAsia="zh-CN"/>
        </w:rPr>
      </w:pPr>
    </w:p>
    <w:p w14:paraId="51B690C2" w14:textId="77777777" w:rsidR="00A32DEF" w:rsidRPr="00A32DEF" w:rsidRDefault="00A32DEF" w:rsidP="00A32DEF">
      <w:pPr>
        <w:rPr>
          <w:rFonts w:ascii="Arial" w:hAnsi="Arial" w:cs="Arial"/>
          <w:bCs/>
          <w:iCs/>
        </w:rPr>
      </w:pPr>
      <w:r w:rsidRPr="00A32DEF">
        <w:rPr>
          <w:rFonts w:ascii="Arial" w:hAnsi="Arial" w:cs="Arial"/>
          <w:bCs/>
          <w:iCs/>
        </w:rPr>
        <w:t>It can be observed that for 10MHz system bandwidth, all narrowband offsets will result in PRB allocations that are aligned for both the narrowbands used in frequency hopping.</w:t>
      </w:r>
    </w:p>
    <w:p w14:paraId="63DC5664" w14:textId="77777777" w:rsidR="00A32DEF" w:rsidRPr="00A32DEF" w:rsidRDefault="00A32DEF" w:rsidP="00A32DEF">
      <w:pPr>
        <w:rPr>
          <w:rFonts w:ascii="Arial" w:hAnsi="Arial" w:cs="Arial"/>
          <w:bCs/>
          <w:iCs/>
        </w:rPr>
      </w:pPr>
      <w:r w:rsidRPr="00A32DEF">
        <w:rPr>
          <w:rFonts w:ascii="Arial" w:hAnsi="Arial" w:cs="Arial"/>
          <w:bCs/>
          <w:iCs/>
        </w:rPr>
        <w:lastRenderedPageBreak/>
        <w:t>Similarly, for 20MHz system bandwidth, a frequency hopping narrowband offset of an even number of narrowbands will result in PRB allocations that are aligned for both the narrowbands used in frequency hopping.</w:t>
      </w:r>
    </w:p>
    <w:p w14:paraId="16EB1418" w14:textId="77777777" w:rsidR="00A32DEF" w:rsidRPr="0052462A" w:rsidRDefault="00A32DEF" w:rsidP="0052462A">
      <w:pPr>
        <w:pStyle w:val="Observation"/>
        <w:ind w:left="1701" w:hanging="1701"/>
        <w:rPr>
          <w:rFonts w:cs="Arial"/>
          <w:lang w:eastAsia="en-US"/>
        </w:rPr>
      </w:pPr>
      <w:bookmarkStart w:id="9" w:name="_Toc494476237"/>
      <w:bookmarkStart w:id="10" w:name="_Toc494297085"/>
      <w:bookmarkStart w:id="11" w:name="_Toc494297002"/>
      <w:bookmarkStart w:id="12" w:name="_Toc494296731"/>
      <w:bookmarkStart w:id="13" w:name="_Toc493865794"/>
      <w:bookmarkStart w:id="14" w:name="_Toc493865746"/>
      <w:bookmarkStart w:id="15" w:name="_Toc493865080"/>
      <w:bookmarkStart w:id="16" w:name="_Toc513821090"/>
      <w:bookmarkStart w:id="17" w:name="_Toc513820354"/>
      <w:bookmarkStart w:id="18" w:name="_Toc513820077"/>
      <w:bookmarkStart w:id="19" w:name="_Toc513660065"/>
      <w:bookmarkStart w:id="20" w:name="_Toc513659472"/>
      <w:bookmarkStart w:id="21" w:name="_Toc513656498"/>
      <w:bookmarkStart w:id="22" w:name="_Toc513647089"/>
      <w:bookmarkStart w:id="23" w:name="_Toc513643174"/>
      <w:bookmarkStart w:id="24" w:name="_Toc521683669"/>
      <w:r w:rsidRPr="0052462A">
        <w:rPr>
          <w:rFonts w:cs="Arial"/>
          <w:lang w:eastAsia="en-US"/>
        </w:rPr>
        <w:t xml:space="preserve">For 10MHz and 20MHz system bandwidths, there are frequency hopping offset values that </w:t>
      </w:r>
      <w:bookmarkEnd w:id="9"/>
      <w:bookmarkEnd w:id="10"/>
      <w:bookmarkEnd w:id="11"/>
      <w:bookmarkEnd w:id="12"/>
      <w:bookmarkEnd w:id="13"/>
      <w:bookmarkEnd w:id="14"/>
      <w:bookmarkEnd w:id="15"/>
      <w:r w:rsidRPr="0052462A">
        <w:rPr>
          <w:rFonts w:cs="Arial"/>
          <w:lang w:eastAsia="en-US"/>
        </w:rPr>
        <w:t>will result in PRB allocations that are aligned for both the narrowbands used in frequency hopping.</w:t>
      </w:r>
      <w:bookmarkEnd w:id="16"/>
      <w:bookmarkEnd w:id="17"/>
      <w:bookmarkEnd w:id="18"/>
      <w:bookmarkEnd w:id="19"/>
      <w:bookmarkEnd w:id="20"/>
      <w:bookmarkEnd w:id="21"/>
      <w:bookmarkEnd w:id="22"/>
      <w:bookmarkEnd w:id="23"/>
      <w:bookmarkEnd w:id="24"/>
    </w:p>
    <w:p w14:paraId="536EA76C" w14:textId="0EB3F2B1" w:rsidR="00A32DEF" w:rsidRDefault="00A32DEF" w:rsidP="0052462A">
      <w:pPr>
        <w:pStyle w:val="Observation"/>
        <w:ind w:left="1701" w:hanging="1701"/>
        <w:rPr>
          <w:rFonts w:cs="Arial"/>
          <w:lang w:eastAsia="en-US"/>
        </w:rPr>
      </w:pPr>
      <w:bookmarkStart w:id="25" w:name="_Toc513821091"/>
      <w:bookmarkStart w:id="26" w:name="_Toc513820355"/>
      <w:bookmarkStart w:id="27" w:name="_Toc513820078"/>
      <w:bookmarkStart w:id="28" w:name="_Toc513660066"/>
      <w:bookmarkStart w:id="29" w:name="_Toc513659473"/>
      <w:bookmarkStart w:id="30" w:name="_Toc513656499"/>
      <w:bookmarkStart w:id="31" w:name="_Toc513647090"/>
      <w:bookmarkStart w:id="32" w:name="_Toc521683670"/>
      <w:r w:rsidRPr="0052462A">
        <w:rPr>
          <w:rFonts w:cs="Arial"/>
          <w:lang w:eastAsia="en-US"/>
        </w:rPr>
        <w:t>For the system bandwidths of 3MHz, 5MHz, and 15MHz, there is a need to adjust the starting PRB of the narrowband used for frequency hopping to align both the narrowbands used for frequency hopping.</w:t>
      </w:r>
      <w:bookmarkEnd w:id="25"/>
      <w:bookmarkEnd w:id="26"/>
      <w:bookmarkEnd w:id="27"/>
      <w:bookmarkEnd w:id="28"/>
      <w:bookmarkEnd w:id="29"/>
      <w:bookmarkEnd w:id="30"/>
      <w:bookmarkEnd w:id="31"/>
      <w:bookmarkEnd w:id="32"/>
      <w:r w:rsidRPr="0052462A">
        <w:rPr>
          <w:rFonts w:cs="Arial"/>
          <w:lang w:eastAsia="en-US"/>
        </w:rPr>
        <w:t xml:space="preserve"> </w:t>
      </w:r>
    </w:p>
    <w:p w14:paraId="5719B7BE" w14:textId="0EC08229" w:rsidR="00A32DEF" w:rsidRPr="00A32DEF" w:rsidRDefault="00A32DEF" w:rsidP="00A32DEF">
      <w:pPr>
        <w:rPr>
          <w:rFonts w:ascii="Arial" w:hAnsi="Arial" w:cs="Arial"/>
          <w:bCs/>
          <w:iCs/>
        </w:rPr>
      </w:pPr>
      <w:r w:rsidRPr="00A32DEF">
        <w:rPr>
          <w:rFonts w:ascii="Arial" w:hAnsi="Arial" w:cs="Arial"/>
          <w:bCs/>
          <w:iCs/>
        </w:rPr>
        <w:t xml:space="preserve">For the system bandwidths of 3MHz, 5MHz, and 15MHz, one source for the misalignment to the resource block groups for the two narrowbands used in frequency hopping is if the two narrowbands are on opposite sides of the </w:t>
      </w:r>
      <w:proofErr w:type="spellStart"/>
      <w:r w:rsidR="00F50769" w:rsidRPr="00A32DEF">
        <w:rPr>
          <w:rFonts w:ascii="Arial" w:hAnsi="Arial" w:cs="Arial"/>
          <w:bCs/>
          <w:iCs/>
        </w:rPr>
        <w:t>centre</w:t>
      </w:r>
      <w:proofErr w:type="spellEnd"/>
      <w:r w:rsidRPr="00A32DEF">
        <w:rPr>
          <w:rFonts w:ascii="Arial" w:hAnsi="Arial" w:cs="Arial"/>
          <w:bCs/>
          <w:iCs/>
        </w:rPr>
        <w:t xml:space="preserve"> frequency of the system bandwidth. </w:t>
      </w:r>
    </w:p>
    <w:p w14:paraId="10AAE83E" w14:textId="2BF4B87B" w:rsidR="00A32DEF" w:rsidRPr="00A32DEF" w:rsidRDefault="00A32DEF" w:rsidP="00A32DEF">
      <w:pPr>
        <w:rPr>
          <w:rFonts w:ascii="Arial" w:hAnsi="Arial" w:cs="Arial"/>
          <w:bCs/>
          <w:iCs/>
        </w:rPr>
      </w:pPr>
      <w:r w:rsidRPr="00A32DEF">
        <w:rPr>
          <w:rFonts w:ascii="Arial" w:hAnsi="Arial" w:cs="Arial"/>
          <w:bCs/>
          <w:iCs/>
        </w:rPr>
        <w:t xml:space="preserve">For 15MHz system bandwidth, a second source for the misalignment is if the narrowband index is odd or even. </w:t>
      </w:r>
      <w:proofErr w:type="gramStart"/>
      <w:r w:rsidRPr="00A32DEF">
        <w:rPr>
          <w:rFonts w:ascii="Arial" w:hAnsi="Arial" w:cs="Arial"/>
          <w:bCs/>
          <w:iCs/>
        </w:rPr>
        <w:t>Similarly</w:t>
      </w:r>
      <w:proofErr w:type="gramEnd"/>
      <w:r w:rsidRPr="00A32DEF">
        <w:rPr>
          <w:rFonts w:ascii="Arial" w:hAnsi="Arial" w:cs="Arial"/>
          <w:bCs/>
          <w:iCs/>
        </w:rPr>
        <w:t xml:space="preserve"> as for 20MHz system bandwidth, a frequency hopping narrowband offset of an even number of narrowbands will result in PRB allocations that are aligned for both the narrowbands used in frequency hopping.</w:t>
      </w:r>
    </w:p>
    <w:p w14:paraId="079C3B70" w14:textId="77777777" w:rsidR="00A32DEF" w:rsidRPr="00A32DEF" w:rsidRDefault="00A32DEF" w:rsidP="00A32DEF">
      <w:pPr>
        <w:rPr>
          <w:rFonts w:ascii="Arial" w:hAnsi="Arial" w:cs="Arial"/>
          <w:bCs/>
          <w:iCs/>
        </w:rPr>
      </w:pPr>
      <w:r w:rsidRPr="00A32DEF">
        <w:rPr>
          <w:rFonts w:ascii="Arial" w:hAnsi="Arial" w:cs="Arial"/>
          <w:bCs/>
          <w:iCs/>
        </w:rPr>
        <w:t>Thus, to obtain frequency hopping offset values that will result in PRB allocations that are aligned for both the narrowbands used in frequency hopping also for system bandwidths of 3MHz, 5MHz, and 15MHz, it is sufficient to shift the narrowband used for frequency hopping by 1 PRB if the two narrowbands are on opposite sides of the system bandwidth.</w:t>
      </w:r>
    </w:p>
    <w:p w14:paraId="0FA0F1E9" w14:textId="77777777" w:rsidR="00A32DEF" w:rsidRPr="00860101" w:rsidRDefault="00A32DEF" w:rsidP="00860101">
      <w:pPr>
        <w:pStyle w:val="Proposal"/>
        <w:tabs>
          <w:tab w:val="clear" w:pos="1304"/>
        </w:tabs>
        <w:ind w:left="1701" w:hanging="1701"/>
        <w:rPr>
          <w:rFonts w:cs="Arial"/>
          <w:lang w:eastAsia="en-US"/>
        </w:rPr>
      </w:pPr>
      <w:bookmarkStart w:id="33" w:name="_Toc513821106"/>
      <w:bookmarkStart w:id="34" w:name="_Toc513820370"/>
      <w:bookmarkStart w:id="35" w:name="_Toc513820093"/>
      <w:bookmarkStart w:id="36" w:name="_Toc521683675"/>
      <w:bookmarkStart w:id="37" w:name="_Toc513660081"/>
      <w:bookmarkStart w:id="38" w:name="_Toc513659488"/>
      <w:bookmarkStart w:id="39" w:name="_Toc513656514"/>
      <w:bookmarkStart w:id="40" w:name="_Toc513647105"/>
      <w:r w:rsidRPr="00860101">
        <w:rPr>
          <w:rFonts w:cs="Arial"/>
          <w:lang w:eastAsia="en-US"/>
        </w:rPr>
        <w:t>For flexible starting PRB for PDSCH and CE mode A and system bandwidth 10MHz and 20MHz, the legacy BL/CE UE frequency hopping is followed</w:t>
      </w:r>
      <w:bookmarkEnd w:id="33"/>
      <w:bookmarkEnd w:id="34"/>
      <w:bookmarkEnd w:id="35"/>
      <w:bookmarkEnd w:id="36"/>
    </w:p>
    <w:p w14:paraId="2C6D304B" w14:textId="77777777" w:rsidR="00A32DEF" w:rsidRPr="00860101" w:rsidRDefault="00A32DEF" w:rsidP="00860101">
      <w:pPr>
        <w:pStyle w:val="Proposal"/>
        <w:tabs>
          <w:tab w:val="clear" w:pos="1304"/>
        </w:tabs>
        <w:ind w:left="1701" w:hanging="1701"/>
        <w:rPr>
          <w:rFonts w:cs="Arial"/>
          <w:lang w:eastAsia="en-US"/>
        </w:rPr>
      </w:pPr>
      <w:bookmarkStart w:id="41" w:name="_Toc513821107"/>
      <w:bookmarkStart w:id="42" w:name="_Toc513820371"/>
      <w:bookmarkStart w:id="43" w:name="_Toc513820094"/>
      <w:bookmarkStart w:id="44" w:name="_Toc521683676"/>
      <w:r w:rsidRPr="00860101">
        <w:rPr>
          <w:rFonts w:cs="Arial"/>
          <w:lang w:eastAsia="en-US"/>
        </w:rPr>
        <w:t>For flexible starting PRB for PDSCH and CE mode A and system bandwidth 3MHz, 5MHz, and 15MHz, the legacy BL/CE UE frequency hopping is followed with the exception that an additional shift of 1 PRB towards the center frequency is applied to the frequency hopping narrowband if the original narrowband and the frequency hopping narrowband are on opposite sides of the center frequency.</w:t>
      </w:r>
      <w:bookmarkEnd w:id="37"/>
      <w:bookmarkEnd w:id="38"/>
      <w:bookmarkEnd w:id="39"/>
      <w:bookmarkEnd w:id="40"/>
      <w:bookmarkEnd w:id="41"/>
      <w:bookmarkEnd w:id="42"/>
      <w:bookmarkEnd w:id="43"/>
      <w:bookmarkEnd w:id="44"/>
    </w:p>
    <w:p w14:paraId="73E26D02" w14:textId="0EF2F346" w:rsidR="00A32DEF" w:rsidRDefault="00A32DEF" w:rsidP="00A32DEF">
      <w:pPr>
        <w:pStyle w:val="Heading4"/>
        <w:rPr>
          <w:lang w:eastAsia="zh-CN"/>
        </w:rPr>
      </w:pPr>
      <w:r>
        <w:t>2.</w:t>
      </w:r>
      <w:r w:rsidR="00965470">
        <w:t>2</w:t>
      </w:r>
      <w:r>
        <w:t>.1.2</w:t>
      </w:r>
      <w:r>
        <w:tab/>
        <w:t>CE mode B</w:t>
      </w:r>
    </w:p>
    <w:p w14:paraId="507CD5AB" w14:textId="70B35F79" w:rsidR="00A32DEF" w:rsidRDefault="00A32DEF" w:rsidP="00A32DEF">
      <w:pPr>
        <w:rPr>
          <w:rFonts w:ascii="Arial" w:hAnsi="Arial" w:cs="Arial"/>
          <w:bCs/>
          <w:iCs/>
        </w:rPr>
      </w:pPr>
      <w:r w:rsidRPr="00A32DEF">
        <w:rPr>
          <w:rFonts w:ascii="Arial" w:hAnsi="Arial" w:cs="Arial"/>
          <w:bCs/>
          <w:iCs/>
        </w:rPr>
        <w:t xml:space="preserve">For PDSCH CE mode B, </w:t>
      </w:r>
      <w:r w:rsidR="00BB5832">
        <w:rPr>
          <w:rFonts w:ascii="Arial" w:hAnsi="Arial" w:cs="Arial"/>
        </w:rPr>
        <w:t>a shift of the narrowband is introduced for certain narrowbands and system bandwidths</w:t>
      </w:r>
      <w:r w:rsidR="00BB5832" w:rsidRPr="00A32DEF">
        <w:rPr>
          <w:rFonts w:ascii="Arial" w:hAnsi="Arial" w:cs="Arial"/>
          <w:bCs/>
          <w:iCs/>
        </w:rPr>
        <w:t xml:space="preserve"> </w:t>
      </w:r>
      <w:r w:rsidR="00BB5832">
        <w:rPr>
          <w:rFonts w:ascii="Arial" w:hAnsi="Arial" w:cs="Arial"/>
          <w:bCs/>
          <w:iCs/>
        </w:rPr>
        <w:t>has been introduced to better align the narrowband to the resource block groups. Since the same alignment</w:t>
      </w:r>
      <w:r w:rsidRPr="00A32DEF">
        <w:rPr>
          <w:rFonts w:ascii="Arial" w:hAnsi="Arial" w:cs="Arial"/>
          <w:bCs/>
          <w:iCs/>
        </w:rPr>
        <w:t xml:space="preserve"> also will apply to the narrowband that results from frequency hopping, alignment to the RBG will b</w:t>
      </w:r>
      <w:r w:rsidR="00BB5832">
        <w:rPr>
          <w:rFonts w:ascii="Arial" w:hAnsi="Arial" w:cs="Arial"/>
          <w:bCs/>
          <w:iCs/>
        </w:rPr>
        <w:t>e inherent for</w:t>
      </w:r>
      <w:r w:rsidRPr="00A32DEF">
        <w:rPr>
          <w:rFonts w:ascii="Arial" w:hAnsi="Arial" w:cs="Arial"/>
          <w:bCs/>
          <w:iCs/>
        </w:rPr>
        <w:t xml:space="preserve"> CE mode B. </w:t>
      </w:r>
    </w:p>
    <w:p w14:paraId="6F650ED4" w14:textId="697FCBC8" w:rsidR="00881151" w:rsidRPr="00881151" w:rsidRDefault="00881151" w:rsidP="00881151">
      <w:pPr>
        <w:pStyle w:val="Observation"/>
        <w:ind w:left="1701" w:hanging="1701"/>
        <w:rPr>
          <w:rFonts w:cs="Arial"/>
          <w:lang w:eastAsia="en-US"/>
        </w:rPr>
      </w:pPr>
      <w:bookmarkStart w:id="45" w:name="_Toc521683671"/>
      <w:r w:rsidRPr="00881151">
        <w:rPr>
          <w:rFonts w:cs="Arial"/>
          <w:lang w:eastAsia="en-US"/>
        </w:rPr>
        <w:t>Alignment to the resource block group for frequency hopping is inherent in the proposed solution for flexible PDSCH resource allocation in CE mode B.</w:t>
      </w:r>
      <w:bookmarkEnd w:id="45"/>
    </w:p>
    <w:p w14:paraId="768DC835" w14:textId="77777777" w:rsidR="00A32DEF" w:rsidRPr="00860101" w:rsidRDefault="00A32DEF" w:rsidP="00860101">
      <w:pPr>
        <w:pStyle w:val="Proposal"/>
        <w:tabs>
          <w:tab w:val="clear" w:pos="1304"/>
        </w:tabs>
        <w:ind w:left="1701" w:hanging="1701"/>
        <w:rPr>
          <w:rFonts w:cs="Arial"/>
          <w:lang w:eastAsia="en-US"/>
        </w:rPr>
      </w:pPr>
      <w:bookmarkStart w:id="46" w:name="_Toc513821108"/>
      <w:bookmarkStart w:id="47" w:name="_Toc513820372"/>
      <w:bookmarkStart w:id="48" w:name="_Toc513820095"/>
      <w:bookmarkStart w:id="49" w:name="_Toc513660082"/>
      <w:bookmarkStart w:id="50" w:name="_Toc513659489"/>
      <w:bookmarkStart w:id="51" w:name="_Toc513656515"/>
      <w:bookmarkStart w:id="52" w:name="_Toc513647106"/>
      <w:bookmarkStart w:id="53" w:name="_Toc521683677"/>
      <w:r w:rsidRPr="00860101">
        <w:rPr>
          <w:rFonts w:cs="Arial"/>
          <w:lang w:eastAsia="en-US"/>
        </w:rPr>
        <w:t>For flexible starting PRB for PDSCH and CE mode B, the legacy BL/CE UE frequency hopping is followed.</w:t>
      </w:r>
      <w:bookmarkEnd w:id="46"/>
      <w:bookmarkEnd w:id="47"/>
      <w:bookmarkEnd w:id="48"/>
      <w:bookmarkEnd w:id="49"/>
      <w:bookmarkEnd w:id="50"/>
      <w:bookmarkEnd w:id="51"/>
      <w:bookmarkEnd w:id="52"/>
      <w:bookmarkEnd w:id="53"/>
    </w:p>
    <w:p w14:paraId="38468108" w14:textId="196B6C38" w:rsidR="00A32DEF" w:rsidRDefault="00A32DEF" w:rsidP="00A32DEF">
      <w:pPr>
        <w:pStyle w:val="Heading3"/>
        <w:rPr>
          <w:lang w:eastAsia="zh-CN"/>
        </w:rPr>
      </w:pPr>
      <w:r>
        <w:t>2.</w:t>
      </w:r>
      <w:r w:rsidR="00965470">
        <w:t>2</w:t>
      </w:r>
      <w:r>
        <w:t>.2</w:t>
      </w:r>
      <w:r>
        <w:tab/>
        <w:t>PUSCH</w:t>
      </w:r>
    </w:p>
    <w:p w14:paraId="03D0D96A" w14:textId="06FFC74E" w:rsidR="00A32DEF" w:rsidRPr="00A32DEF" w:rsidRDefault="00A32DEF" w:rsidP="00A32DEF">
      <w:pPr>
        <w:rPr>
          <w:rFonts w:ascii="Arial" w:hAnsi="Arial" w:cs="Arial"/>
          <w:bCs/>
          <w:iCs/>
        </w:rPr>
      </w:pPr>
      <w:r w:rsidRPr="00A32DEF">
        <w:rPr>
          <w:rFonts w:ascii="Arial" w:hAnsi="Arial" w:cs="Arial"/>
          <w:bCs/>
          <w:iCs/>
        </w:rPr>
        <w:t>As discussed in</w:t>
      </w:r>
      <w:r w:rsidR="0052462A">
        <w:rPr>
          <w:rFonts w:ascii="Arial" w:hAnsi="Arial" w:cs="Arial"/>
          <w:bCs/>
          <w:iCs/>
        </w:rPr>
        <w:t xml:space="preserve"> </w:t>
      </w:r>
      <w:r w:rsidR="0052462A">
        <w:rPr>
          <w:rFonts w:ascii="Arial" w:hAnsi="Arial" w:cs="Arial"/>
          <w:bCs/>
          <w:iCs/>
        </w:rPr>
        <w:fldChar w:fldCharType="begin"/>
      </w:r>
      <w:r w:rsidR="0052462A">
        <w:rPr>
          <w:rFonts w:ascii="Arial" w:hAnsi="Arial" w:cs="Arial"/>
          <w:bCs/>
          <w:iCs/>
        </w:rPr>
        <w:instrText xml:space="preserve"> REF _Ref521675231 \r \h </w:instrText>
      </w:r>
      <w:r w:rsidR="0052462A">
        <w:rPr>
          <w:rFonts w:ascii="Arial" w:hAnsi="Arial" w:cs="Arial"/>
          <w:bCs/>
          <w:iCs/>
        </w:rPr>
      </w:r>
      <w:r w:rsidR="0052462A">
        <w:rPr>
          <w:rFonts w:ascii="Arial" w:hAnsi="Arial" w:cs="Arial"/>
          <w:bCs/>
          <w:iCs/>
        </w:rPr>
        <w:fldChar w:fldCharType="separate"/>
      </w:r>
      <w:r w:rsidR="00F12F5B">
        <w:rPr>
          <w:rFonts w:ascii="Arial" w:hAnsi="Arial" w:cs="Arial"/>
          <w:bCs/>
          <w:iCs/>
        </w:rPr>
        <w:t>[5]</w:t>
      </w:r>
      <w:r w:rsidR="0052462A">
        <w:rPr>
          <w:rFonts w:ascii="Arial" w:hAnsi="Arial" w:cs="Arial"/>
          <w:bCs/>
          <w:iCs/>
        </w:rPr>
        <w:fldChar w:fldCharType="end"/>
      </w:r>
      <w:r w:rsidRPr="00A32DEF">
        <w:rPr>
          <w:rFonts w:ascii="Arial" w:hAnsi="Arial" w:cs="Arial"/>
          <w:bCs/>
          <w:iCs/>
        </w:rPr>
        <w:t xml:space="preserve">, the objective of the flexible PUSCH resource allocation is to support allocating BL/CE UEs adjacent to PRACH and PUCCH resource. Since the frequency hopping is </w:t>
      </w:r>
      <w:proofErr w:type="gramStart"/>
      <w:r w:rsidRPr="00A32DEF">
        <w:rPr>
          <w:rFonts w:ascii="Arial" w:hAnsi="Arial" w:cs="Arial"/>
          <w:bCs/>
          <w:iCs/>
        </w:rPr>
        <w:t>a number of</w:t>
      </w:r>
      <w:proofErr w:type="gramEnd"/>
      <w:r w:rsidRPr="00A32DEF">
        <w:rPr>
          <w:rFonts w:ascii="Arial" w:hAnsi="Arial" w:cs="Arial"/>
          <w:bCs/>
          <w:iCs/>
        </w:rPr>
        <w:t xml:space="preserve"> narrowbands, it is not considered feasible to align the allocation of the PRBs to the band edges for both the original and the hopping narrowband. Thus, the legacy frequency hopping for BL/CE UEs can be followed without modifications.</w:t>
      </w:r>
    </w:p>
    <w:p w14:paraId="7E317240" w14:textId="1C948370" w:rsidR="00A32DEF" w:rsidRPr="00A32DEF" w:rsidRDefault="00A32DEF" w:rsidP="00A32DEF">
      <w:pPr>
        <w:rPr>
          <w:rFonts w:ascii="Arial" w:hAnsi="Arial" w:cs="Arial"/>
          <w:bCs/>
          <w:iCs/>
        </w:rPr>
      </w:pPr>
      <w:r w:rsidRPr="00A32DEF">
        <w:rPr>
          <w:rFonts w:ascii="Arial" w:hAnsi="Arial" w:cs="Arial"/>
          <w:bCs/>
          <w:iCs/>
        </w:rPr>
        <w:lastRenderedPageBreak/>
        <w:t>For PUSCH</w:t>
      </w:r>
      <w:r w:rsidR="0052462A">
        <w:rPr>
          <w:rFonts w:ascii="Arial" w:hAnsi="Arial" w:cs="Arial"/>
          <w:bCs/>
          <w:iCs/>
        </w:rPr>
        <w:t xml:space="preserve"> CE mode A the indexation of the resources is not via a narrowband but the </w:t>
      </w:r>
      <w:r w:rsidRPr="00A32DEF">
        <w:rPr>
          <w:rFonts w:ascii="Arial" w:hAnsi="Arial" w:cs="Arial"/>
          <w:bCs/>
          <w:iCs/>
        </w:rPr>
        <w:t>starting PRB within the full system BW.  Since this allocation do not explicitly include a narrowband to be used in the computation of the hopping narrowband, it is proposed to implicitly define the narrowband for the allocation as the narrowband of the starting PRB of the allocation. This implicitly defined narrowband is used as in legacy BL/CE UE PUSCH frequency to compute the hopping narrowband.</w:t>
      </w:r>
    </w:p>
    <w:p w14:paraId="49F8EAAD" w14:textId="51448B09" w:rsidR="00A32DEF" w:rsidRPr="00860101" w:rsidRDefault="00A32DEF" w:rsidP="00860101">
      <w:pPr>
        <w:pStyle w:val="Proposal"/>
        <w:tabs>
          <w:tab w:val="clear" w:pos="1304"/>
        </w:tabs>
        <w:ind w:left="1701" w:hanging="1701"/>
        <w:rPr>
          <w:rFonts w:cs="Arial"/>
          <w:lang w:eastAsia="en-US"/>
        </w:rPr>
      </w:pPr>
      <w:bookmarkStart w:id="54" w:name="_Toc513821109"/>
      <w:bookmarkStart w:id="55" w:name="_Toc513820373"/>
      <w:bookmarkStart w:id="56" w:name="_Toc513820096"/>
      <w:bookmarkStart w:id="57" w:name="_Toc513660083"/>
      <w:bookmarkStart w:id="58" w:name="_Toc513659490"/>
      <w:bookmarkStart w:id="59" w:name="_Toc513656516"/>
      <w:bookmarkStart w:id="60" w:name="_Toc521683678"/>
      <w:r w:rsidRPr="00860101">
        <w:rPr>
          <w:rFonts w:cs="Arial"/>
          <w:lang w:eastAsia="en-US"/>
        </w:rPr>
        <w:t>For flexible starting PRB for PUSCH and CE mode A</w:t>
      </w:r>
      <w:r w:rsidR="0052462A" w:rsidRPr="00860101">
        <w:rPr>
          <w:rFonts w:cs="Arial"/>
          <w:lang w:eastAsia="en-US"/>
        </w:rPr>
        <w:t xml:space="preserve"> with Uplink resource allocation type 0</w:t>
      </w:r>
      <w:r w:rsidRPr="00860101">
        <w:rPr>
          <w:rFonts w:cs="Arial"/>
          <w:lang w:eastAsia="en-US"/>
        </w:rPr>
        <w:t xml:space="preserve"> with starting PRB within the full system BW, an implicit narrowband used for computing the frequency hopping narrowband is defined as the narrowband that contains the starting PRB of the allocation.</w:t>
      </w:r>
      <w:bookmarkEnd w:id="54"/>
      <w:bookmarkEnd w:id="55"/>
      <w:bookmarkEnd w:id="56"/>
      <w:bookmarkEnd w:id="57"/>
      <w:bookmarkEnd w:id="58"/>
      <w:bookmarkEnd w:id="59"/>
      <w:bookmarkEnd w:id="60"/>
    </w:p>
    <w:p w14:paraId="4D96ABAA" w14:textId="02BB7AE6" w:rsidR="0052462A" w:rsidRPr="00C4311D" w:rsidRDefault="0052462A" w:rsidP="00C4311D">
      <w:pPr>
        <w:pStyle w:val="Proposal"/>
        <w:tabs>
          <w:tab w:val="clear" w:pos="1304"/>
        </w:tabs>
        <w:ind w:left="1701" w:hanging="1701"/>
        <w:rPr>
          <w:rFonts w:cs="Arial"/>
          <w:lang w:eastAsia="en-US"/>
        </w:rPr>
      </w:pPr>
      <w:bookmarkStart w:id="61" w:name="_Toc521683679"/>
      <w:r w:rsidRPr="00860101">
        <w:rPr>
          <w:rFonts w:cs="Arial"/>
          <w:lang w:eastAsia="en-US"/>
        </w:rPr>
        <w:t>For flexible starting PRB for PUSCH resource allocation, the legacy BL/CE UE frequency hopping is followed.</w:t>
      </w:r>
      <w:bookmarkEnd w:id="61"/>
    </w:p>
    <w:p w14:paraId="22D84A95" w14:textId="0D4BBBBA" w:rsidR="00A32DEF" w:rsidRPr="00A32DEF" w:rsidRDefault="00A32DEF" w:rsidP="00A32DEF">
      <w:pPr>
        <w:pStyle w:val="Heading1"/>
      </w:pPr>
      <w:r>
        <w:t>3</w:t>
      </w:r>
      <w:r>
        <w:tab/>
        <w:t>Conclusions</w:t>
      </w:r>
    </w:p>
    <w:p w14:paraId="0130B355" w14:textId="5AD119D1" w:rsidR="008E065E" w:rsidRPr="00A32DEF" w:rsidRDefault="00A32DEF" w:rsidP="00A32DEF">
      <w:pPr>
        <w:rPr>
          <w:rFonts w:ascii="Arial" w:hAnsi="Arial" w:cs="Arial"/>
          <w:bCs/>
          <w:iCs/>
        </w:rPr>
      </w:pPr>
      <w:r w:rsidRPr="00A32DEF">
        <w:rPr>
          <w:rFonts w:ascii="Arial" w:hAnsi="Arial" w:cs="Arial"/>
          <w:bCs/>
          <w:iCs/>
        </w:rPr>
        <w:t xml:space="preserve"> </w:t>
      </w:r>
      <w:r w:rsidR="008E065E" w:rsidRPr="00A32DEF">
        <w:rPr>
          <w:rFonts w:ascii="Arial" w:hAnsi="Arial" w:cs="Arial"/>
          <w:bCs/>
          <w:iCs/>
        </w:rPr>
        <w:t xml:space="preserve">In </w:t>
      </w:r>
      <w:r w:rsidR="007729A2" w:rsidRPr="00A32DEF">
        <w:rPr>
          <w:rFonts w:ascii="Arial" w:hAnsi="Arial" w:cs="Arial"/>
          <w:bCs/>
          <w:iCs/>
        </w:rPr>
        <w:t xml:space="preserve">the previous </w:t>
      </w:r>
      <w:r w:rsidR="008E065E" w:rsidRPr="00A32DEF">
        <w:rPr>
          <w:rFonts w:ascii="Arial" w:hAnsi="Arial" w:cs="Arial"/>
          <w:bCs/>
          <w:iCs/>
        </w:rPr>
        <w:t>section</w:t>
      </w:r>
      <w:r w:rsidR="007729A2" w:rsidRPr="00A32DEF">
        <w:rPr>
          <w:rFonts w:ascii="Arial" w:hAnsi="Arial" w:cs="Arial"/>
          <w:bCs/>
          <w:iCs/>
        </w:rPr>
        <w:t>s</w:t>
      </w:r>
      <w:r w:rsidR="008E065E" w:rsidRPr="00A32DEF">
        <w:rPr>
          <w:rFonts w:ascii="Arial" w:hAnsi="Arial" w:cs="Arial"/>
          <w:bCs/>
          <w:iCs/>
        </w:rPr>
        <w:t xml:space="preserve"> we made the following observations:</w:t>
      </w:r>
      <w:r w:rsidR="00C93814" w:rsidRPr="00A32DEF">
        <w:rPr>
          <w:rFonts w:ascii="Arial" w:hAnsi="Arial" w:cs="Arial"/>
          <w:bCs/>
          <w:iCs/>
        </w:rPr>
        <w:t xml:space="preserve"> </w:t>
      </w:r>
    </w:p>
    <w:p w14:paraId="36BBC6BF" w14:textId="77F8E7CF" w:rsidR="00F12F5B" w:rsidRDefault="006F6582">
      <w:pPr>
        <w:pStyle w:val="TableofFigures"/>
        <w:tabs>
          <w:tab w:val="right" w:leader="dot" w:pos="9629"/>
        </w:tabs>
        <w:rPr>
          <w:rFonts w:asciiTheme="minorHAnsi" w:eastAsiaTheme="minorEastAsia" w:hAnsiTheme="minorHAnsi"/>
          <w:b w:val="0"/>
          <w:noProof/>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1683668" w:history="1">
        <w:r w:rsidR="00F12F5B" w:rsidRPr="0061023D">
          <w:rPr>
            <w:rStyle w:val="Hyperlink"/>
            <w:rFonts w:cs="Arial"/>
            <w:noProof/>
            <w:lang w:eastAsia="en-US"/>
          </w:rPr>
          <w:t>Observation 1</w:t>
        </w:r>
        <w:r w:rsidR="00F12F5B">
          <w:rPr>
            <w:rFonts w:asciiTheme="minorHAnsi" w:eastAsiaTheme="minorEastAsia" w:hAnsiTheme="minorHAnsi"/>
            <w:b w:val="0"/>
            <w:noProof/>
            <w:lang w:val="sv-SE" w:eastAsia="sv-SE"/>
          </w:rPr>
          <w:tab/>
        </w:r>
        <w:r w:rsidR="00F12F5B" w:rsidRPr="0061023D">
          <w:rPr>
            <w:rStyle w:val="Hyperlink"/>
            <w:rFonts w:cs="Arial"/>
            <w:noProof/>
            <w:lang w:eastAsia="en-US"/>
          </w:rPr>
          <w:t>The text in TS 36.212 clause 5.3.3.1.10 and TS 36.213 clause 8.1.1 with respect to flexible resource starting PRB for PUSCH in CE mode A is not consistent.</w:t>
        </w:r>
      </w:hyperlink>
    </w:p>
    <w:p w14:paraId="5CC45D55" w14:textId="4EBF88F6"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69" w:history="1">
        <w:r w:rsidR="00F12F5B" w:rsidRPr="0061023D">
          <w:rPr>
            <w:rStyle w:val="Hyperlink"/>
            <w:rFonts w:cs="Arial"/>
            <w:noProof/>
            <w:lang w:eastAsia="en-US"/>
          </w:rPr>
          <w:t>Observation 2</w:t>
        </w:r>
        <w:r w:rsidR="00F12F5B">
          <w:rPr>
            <w:rFonts w:asciiTheme="minorHAnsi" w:eastAsiaTheme="minorEastAsia" w:hAnsiTheme="minorHAnsi"/>
            <w:b w:val="0"/>
            <w:noProof/>
            <w:lang w:val="sv-SE" w:eastAsia="sv-SE"/>
          </w:rPr>
          <w:tab/>
        </w:r>
        <w:r w:rsidR="00F12F5B" w:rsidRPr="0061023D">
          <w:rPr>
            <w:rStyle w:val="Hyperlink"/>
            <w:rFonts w:cs="Arial"/>
            <w:noProof/>
            <w:lang w:eastAsia="en-US"/>
          </w:rPr>
          <w:t>For 10MHz and 20MHz system bandwidths, there are frequency hopping offset values that will result in PRB allocations that are aligned for both the narrowbands used in frequency hopping.</w:t>
        </w:r>
      </w:hyperlink>
    </w:p>
    <w:p w14:paraId="743D7ECF" w14:textId="10B92A32"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0" w:history="1">
        <w:r w:rsidR="00F12F5B" w:rsidRPr="0061023D">
          <w:rPr>
            <w:rStyle w:val="Hyperlink"/>
            <w:rFonts w:cs="Arial"/>
            <w:noProof/>
            <w:lang w:eastAsia="en-US"/>
          </w:rPr>
          <w:t>Observation 3</w:t>
        </w:r>
        <w:r w:rsidR="00F12F5B">
          <w:rPr>
            <w:rFonts w:asciiTheme="minorHAnsi" w:eastAsiaTheme="minorEastAsia" w:hAnsiTheme="minorHAnsi"/>
            <w:b w:val="0"/>
            <w:noProof/>
            <w:lang w:val="sv-SE" w:eastAsia="sv-SE"/>
          </w:rPr>
          <w:tab/>
        </w:r>
        <w:r w:rsidR="00F12F5B" w:rsidRPr="0061023D">
          <w:rPr>
            <w:rStyle w:val="Hyperlink"/>
            <w:rFonts w:cs="Arial"/>
            <w:noProof/>
            <w:lang w:eastAsia="en-US"/>
          </w:rPr>
          <w:t>For the system bandwidths of 3MHz, 5MHz, and 15MHz, there is a need to adjust the starting PRB of the narrowband used for frequency hopping to align both the narrowbands used for frequency hopping.</w:t>
        </w:r>
      </w:hyperlink>
    </w:p>
    <w:p w14:paraId="7636D1D8" w14:textId="1F35E8F2"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1" w:history="1">
        <w:r w:rsidR="00F12F5B" w:rsidRPr="0061023D">
          <w:rPr>
            <w:rStyle w:val="Hyperlink"/>
            <w:rFonts w:cs="Arial"/>
            <w:noProof/>
            <w:lang w:eastAsia="en-US"/>
          </w:rPr>
          <w:t>Observation 4</w:t>
        </w:r>
        <w:r w:rsidR="00F12F5B">
          <w:rPr>
            <w:rFonts w:asciiTheme="minorHAnsi" w:eastAsiaTheme="minorEastAsia" w:hAnsiTheme="minorHAnsi"/>
            <w:b w:val="0"/>
            <w:noProof/>
            <w:lang w:val="sv-SE" w:eastAsia="sv-SE"/>
          </w:rPr>
          <w:tab/>
        </w:r>
        <w:r w:rsidR="00F12F5B" w:rsidRPr="0061023D">
          <w:rPr>
            <w:rStyle w:val="Hyperlink"/>
            <w:rFonts w:cs="Arial"/>
            <w:noProof/>
            <w:lang w:eastAsia="en-US"/>
          </w:rPr>
          <w:t>Alignment to the resource block group for frequency hopping is inherent in the proposed solution for flexible PDSCH resource allocation in CE mode B.</w:t>
        </w:r>
      </w:hyperlink>
    </w:p>
    <w:p w14:paraId="29A3B803" w14:textId="48105C8F" w:rsidR="006E1C82" w:rsidRDefault="006F6582" w:rsidP="008E065E">
      <w:pPr>
        <w:pStyle w:val="BodyText"/>
        <w:rPr>
          <w:b/>
          <w:bCs/>
        </w:rPr>
      </w:pPr>
      <w:r>
        <w:rPr>
          <w:b/>
          <w:bCs/>
        </w:rPr>
        <w:fldChar w:fldCharType="end"/>
      </w:r>
    </w:p>
    <w:p w14:paraId="08D704CA" w14:textId="77777777" w:rsidR="006E1C82" w:rsidRDefault="006E1C82" w:rsidP="008E065E">
      <w:pPr>
        <w:pStyle w:val="BodyText"/>
        <w:rPr>
          <w:b/>
          <w:bCs/>
        </w:rPr>
      </w:pPr>
    </w:p>
    <w:p w14:paraId="3BDF679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E3488F" w14:textId="38C00046" w:rsidR="00F12F5B" w:rsidRDefault="006E1C82">
      <w:pPr>
        <w:pStyle w:val="TableofFigures"/>
        <w:tabs>
          <w:tab w:val="right" w:leader="dot" w:pos="9629"/>
        </w:tabs>
        <w:rPr>
          <w:rFonts w:asciiTheme="minorHAnsi" w:eastAsiaTheme="minorEastAsia" w:hAnsiTheme="minorHAnsi"/>
          <w:b w:val="0"/>
          <w:noProof/>
          <w:lang w:val="sv-SE" w:eastAsia="sv-SE"/>
        </w:rPr>
      </w:pPr>
      <w:r>
        <w:rPr>
          <w:b w:val="0"/>
          <w:bCs/>
        </w:rPr>
        <w:fldChar w:fldCharType="begin"/>
      </w:r>
      <w:r>
        <w:rPr>
          <w:b w:val="0"/>
          <w:bCs/>
        </w:rPr>
        <w:instrText xml:space="preserve"> TOC \n \h \z \t "Proposal" \c </w:instrText>
      </w:r>
      <w:r>
        <w:rPr>
          <w:b w:val="0"/>
          <w:bCs/>
        </w:rPr>
        <w:fldChar w:fldCharType="separate"/>
      </w:r>
      <w:hyperlink w:anchor="_Toc521683672" w:history="1">
        <w:r w:rsidR="00F12F5B" w:rsidRPr="0012403F">
          <w:rPr>
            <w:rStyle w:val="Hyperlink"/>
            <w:noProof/>
          </w:rPr>
          <w:t>Proposal 1</w:t>
        </w:r>
        <w:r w:rsidR="00F12F5B">
          <w:rPr>
            <w:rFonts w:asciiTheme="minorHAnsi" w:eastAsiaTheme="minorEastAsia" w:hAnsiTheme="minorHAnsi"/>
            <w:b w:val="0"/>
            <w:noProof/>
            <w:lang w:val="sv-SE" w:eastAsia="sv-SE"/>
          </w:rPr>
          <w:tab/>
        </w:r>
        <w:r w:rsidR="00F12F5B" w:rsidRPr="0012403F">
          <w:rPr>
            <w:rStyle w:val="Hyperlink"/>
            <w:rFonts w:cs="Arial"/>
            <w:noProof/>
            <w:lang w:eastAsia="en-US"/>
          </w:rPr>
          <w:t xml:space="preserve">Update the specification text in TS 36.212 clause 5.3.3.1.10 and TS 36.213 </w:t>
        </w:r>
        <w:r w:rsidR="00F12F5B" w:rsidRPr="0012403F">
          <w:rPr>
            <w:rStyle w:val="Hyperlink"/>
            <w:rFonts w:cs="Arial"/>
            <w:noProof/>
          </w:rPr>
          <w:t xml:space="preserve">clause </w:t>
        </w:r>
        <w:r w:rsidR="00F12F5B" w:rsidRPr="0012403F">
          <w:rPr>
            <w:rStyle w:val="Hyperlink"/>
            <w:rFonts w:cs="Arial"/>
            <w:noProof/>
            <w:lang w:eastAsia="en-US"/>
          </w:rPr>
          <w:t>8.1.1 to use direct addressing of the starting PRB</w:t>
        </w:r>
      </w:hyperlink>
    </w:p>
    <w:p w14:paraId="1B634D06" w14:textId="346A6FB6"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3" w:history="1">
        <w:r w:rsidR="00F12F5B" w:rsidRPr="0012403F">
          <w:rPr>
            <w:rStyle w:val="Hyperlink"/>
            <w:noProof/>
          </w:rPr>
          <w:t>Proposal 2</w:t>
        </w:r>
        <w:r w:rsidR="00F12F5B">
          <w:rPr>
            <w:rFonts w:asciiTheme="minorHAnsi" w:eastAsiaTheme="minorEastAsia" w:hAnsiTheme="minorHAnsi"/>
            <w:b w:val="0"/>
            <w:noProof/>
            <w:lang w:val="sv-SE" w:eastAsia="sv-SE"/>
          </w:rPr>
          <w:tab/>
        </w:r>
        <w:r w:rsidR="00F12F5B" w:rsidRPr="0012403F">
          <w:rPr>
            <w:rStyle w:val="Hyperlink"/>
            <w:noProof/>
          </w:rPr>
          <w:t xml:space="preserve">Update the size of the RA field in TS 36.212 clause 5.3.3.1.10 to </w:t>
        </w:r>
        <w:r w:rsidR="00F12F5B" w:rsidRPr="0012403F">
          <w:rPr>
            <w:rStyle w:val="Hyperlink"/>
            <w:rFonts w:cs="Arial"/>
            <w:noProof/>
            <w:lang w:eastAsia="en-US"/>
          </w:rPr>
          <w:t>ceil(log(6*N-1) for FDD and</w:t>
        </w:r>
        <w:r w:rsidR="00F12F5B" w:rsidRPr="0012403F">
          <w:rPr>
            <w:rStyle w:val="Hyperlink"/>
            <w:noProof/>
          </w:rPr>
          <w:t xml:space="preserve"> </w:t>
        </w:r>
        <w:r w:rsidR="00F12F5B" w:rsidRPr="0012403F">
          <w:rPr>
            <w:rStyle w:val="Hyperlink"/>
            <w:rFonts w:cs="Arial"/>
            <w:noProof/>
            <w:lang w:eastAsia="en-US"/>
          </w:rPr>
          <w:t>ceil(log(5*N-1)) for TDD.</w:t>
        </w:r>
      </w:hyperlink>
    </w:p>
    <w:p w14:paraId="4B8EA610" w14:textId="77145301"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4" w:history="1">
        <w:r w:rsidR="00F12F5B" w:rsidRPr="0012403F">
          <w:rPr>
            <w:rStyle w:val="Hyperlink"/>
            <w:noProof/>
          </w:rPr>
          <w:t>Proposal 3</w:t>
        </w:r>
        <w:r w:rsidR="00F12F5B">
          <w:rPr>
            <w:rFonts w:asciiTheme="minorHAnsi" w:eastAsiaTheme="minorEastAsia" w:hAnsiTheme="minorHAnsi"/>
            <w:b w:val="0"/>
            <w:noProof/>
            <w:lang w:val="sv-SE" w:eastAsia="sv-SE"/>
          </w:rPr>
          <w:tab/>
        </w:r>
        <w:r w:rsidR="00F12F5B" w:rsidRPr="0012403F">
          <w:rPr>
            <w:rStyle w:val="Hyperlink"/>
            <w:noProof/>
          </w:rPr>
          <w:t xml:space="preserve">Update </w:t>
        </w:r>
        <w:r w:rsidR="00F12F5B" w:rsidRPr="0012403F">
          <w:rPr>
            <w:rStyle w:val="Hyperlink"/>
            <w:rFonts w:cs="Arial"/>
            <w:noProof/>
            <w:lang w:eastAsia="en-US"/>
          </w:rPr>
          <w:t xml:space="preserve">TS 36.213 </w:t>
        </w:r>
        <w:r w:rsidR="00F12F5B" w:rsidRPr="0012403F">
          <w:rPr>
            <w:rStyle w:val="Hyperlink"/>
            <w:rFonts w:cs="Arial"/>
            <w:noProof/>
          </w:rPr>
          <w:t xml:space="preserve">clause </w:t>
        </w:r>
        <w:r w:rsidR="00F12F5B" w:rsidRPr="0012403F">
          <w:rPr>
            <w:rStyle w:val="Hyperlink"/>
            <w:rFonts w:cs="Arial"/>
            <w:noProof/>
            <w:lang w:eastAsia="en-US"/>
          </w:rPr>
          <w:t xml:space="preserve">8.1.1 with that if </w:t>
        </w:r>
        <w:r w:rsidR="00F12F5B" w:rsidRPr="0012403F">
          <w:rPr>
            <w:rStyle w:val="Hyperlink"/>
            <w:rFonts w:cs="Arial"/>
            <w:i/>
            <w:noProof/>
            <w:lang w:eastAsia="en-US"/>
          </w:rPr>
          <w:t>ce-PUSCH-FlexibleStartPRB-AllocConfig</w:t>
        </w:r>
        <w:r w:rsidR="00F12F5B" w:rsidRPr="0012403F">
          <w:rPr>
            <w:rStyle w:val="Hyperlink"/>
            <w:rFonts w:cs="Arial"/>
            <w:noProof/>
            <w:lang w:eastAsia="en-US"/>
          </w:rPr>
          <w:t xml:space="preserve"> is configured then for TDD L_CRB is less than or equal to 5.</w:t>
        </w:r>
      </w:hyperlink>
    </w:p>
    <w:p w14:paraId="3A858735" w14:textId="4EE38FC5"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5" w:history="1">
        <w:r w:rsidR="00F12F5B" w:rsidRPr="0012403F">
          <w:rPr>
            <w:rStyle w:val="Hyperlink"/>
            <w:rFonts w:cs="Arial"/>
            <w:noProof/>
            <w:lang w:eastAsia="en-US"/>
          </w:rPr>
          <w:t>Proposal 4</w:t>
        </w:r>
        <w:r w:rsidR="00F12F5B">
          <w:rPr>
            <w:rFonts w:asciiTheme="minorHAnsi" w:eastAsiaTheme="minorEastAsia" w:hAnsiTheme="minorHAnsi"/>
            <w:b w:val="0"/>
            <w:noProof/>
            <w:lang w:val="sv-SE" w:eastAsia="sv-SE"/>
          </w:rPr>
          <w:tab/>
        </w:r>
        <w:r w:rsidR="00F12F5B" w:rsidRPr="0012403F">
          <w:rPr>
            <w:rStyle w:val="Hyperlink"/>
            <w:rFonts w:cs="Arial"/>
            <w:noProof/>
            <w:lang w:eastAsia="en-US"/>
          </w:rPr>
          <w:t>For flexible starting PRB for PDSCH and CE mode A and system bandwidth 10MHz and 20MHz, the legacy BL/CE UE frequency hopping is followed</w:t>
        </w:r>
      </w:hyperlink>
    </w:p>
    <w:p w14:paraId="2FA0DC77" w14:textId="647D611A"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6" w:history="1">
        <w:r w:rsidR="00F12F5B" w:rsidRPr="0012403F">
          <w:rPr>
            <w:rStyle w:val="Hyperlink"/>
            <w:rFonts w:cs="Arial"/>
            <w:noProof/>
            <w:lang w:eastAsia="en-US"/>
          </w:rPr>
          <w:t>Proposal 5</w:t>
        </w:r>
        <w:r w:rsidR="00F12F5B">
          <w:rPr>
            <w:rFonts w:asciiTheme="minorHAnsi" w:eastAsiaTheme="minorEastAsia" w:hAnsiTheme="minorHAnsi"/>
            <w:b w:val="0"/>
            <w:noProof/>
            <w:lang w:val="sv-SE" w:eastAsia="sv-SE"/>
          </w:rPr>
          <w:tab/>
        </w:r>
        <w:r w:rsidR="00F12F5B" w:rsidRPr="0012403F">
          <w:rPr>
            <w:rStyle w:val="Hyperlink"/>
            <w:rFonts w:cs="Arial"/>
            <w:noProof/>
            <w:lang w:eastAsia="en-US"/>
          </w:rPr>
          <w:t>For flexible starting PRB for PDSCH and CE mode A and system bandwidth 3MHz, 5MHz, and 15MHz, the legacy BL/CE UE frequency hopping is followed with the exception that an additional shift of 1 PRB towards the center frequency is applied to the frequency opping narrowband if the original narrowband and the frequency hopping narrowband are on opposite sides of the center frequency.</w:t>
        </w:r>
      </w:hyperlink>
    </w:p>
    <w:p w14:paraId="49367D66" w14:textId="42812F19"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7" w:history="1">
        <w:r w:rsidR="00F12F5B" w:rsidRPr="0012403F">
          <w:rPr>
            <w:rStyle w:val="Hyperlink"/>
            <w:rFonts w:cs="Arial"/>
            <w:noProof/>
            <w:lang w:eastAsia="en-US"/>
          </w:rPr>
          <w:t>Proposal 6</w:t>
        </w:r>
        <w:r w:rsidR="00F12F5B">
          <w:rPr>
            <w:rFonts w:asciiTheme="minorHAnsi" w:eastAsiaTheme="minorEastAsia" w:hAnsiTheme="minorHAnsi"/>
            <w:b w:val="0"/>
            <w:noProof/>
            <w:lang w:val="sv-SE" w:eastAsia="sv-SE"/>
          </w:rPr>
          <w:tab/>
        </w:r>
        <w:r w:rsidR="00F12F5B" w:rsidRPr="0012403F">
          <w:rPr>
            <w:rStyle w:val="Hyperlink"/>
            <w:rFonts w:cs="Arial"/>
            <w:noProof/>
            <w:lang w:eastAsia="en-US"/>
          </w:rPr>
          <w:t>For flexible starting PRB for PDSCH and CE mode B, the legacy BL/CE UE frequency hopping is followed.</w:t>
        </w:r>
      </w:hyperlink>
    </w:p>
    <w:p w14:paraId="4A75866C" w14:textId="0D69FF9C"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8" w:history="1">
        <w:r w:rsidR="00F12F5B" w:rsidRPr="0012403F">
          <w:rPr>
            <w:rStyle w:val="Hyperlink"/>
            <w:rFonts w:cs="Arial"/>
            <w:noProof/>
            <w:lang w:eastAsia="en-US"/>
          </w:rPr>
          <w:t>Proposal 7</w:t>
        </w:r>
        <w:r w:rsidR="00F12F5B">
          <w:rPr>
            <w:rFonts w:asciiTheme="minorHAnsi" w:eastAsiaTheme="minorEastAsia" w:hAnsiTheme="minorHAnsi"/>
            <w:b w:val="0"/>
            <w:noProof/>
            <w:lang w:val="sv-SE" w:eastAsia="sv-SE"/>
          </w:rPr>
          <w:tab/>
        </w:r>
        <w:r w:rsidR="00F12F5B" w:rsidRPr="0012403F">
          <w:rPr>
            <w:rStyle w:val="Hyperlink"/>
            <w:rFonts w:cs="Arial"/>
            <w:noProof/>
            <w:lang w:eastAsia="en-US"/>
          </w:rPr>
          <w:t>For flexible starting PRB for PUSCH and CE mode A with Uplink resource allocation type 0 with starting PRB within the full system BW, an implicit narrowband used for computing the frequency hopping narrowband is defined as the narrowband that contains the starting PRB of the allocation.</w:t>
        </w:r>
      </w:hyperlink>
    </w:p>
    <w:p w14:paraId="19B2CB4F" w14:textId="5E3A2C1C" w:rsidR="00F12F5B" w:rsidRDefault="00A405A1">
      <w:pPr>
        <w:pStyle w:val="TableofFigures"/>
        <w:tabs>
          <w:tab w:val="right" w:leader="dot" w:pos="9629"/>
        </w:tabs>
        <w:rPr>
          <w:rFonts w:asciiTheme="minorHAnsi" w:eastAsiaTheme="minorEastAsia" w:hAnsiTheme="minorHAnsi"/>
          <w:b w:val="0"/>
          <w:noProof/>
          <w:lang w:val="sv-SE" w:eastAsia="sv-SE"/>
        </w:rPr>
      </w:pPr>
      <w:hyperlink w:anchor="_Toc521683679" w:history="1">
        <w:r w:rsidR="00F12F5B" w:rsidRPr="0012403F">
          <w:rPr>
            <w:rStyle w:val="Hyperlink"/>
            <w:rFonts w:cs="Arial"/>
            <w:noProof/>
            <w:lang w:eastAsia="en-US"/>
          </w:rPr>
          <w:t>Proposal 8</w:t>
        </w:r>
        <w:r w:rsidR="00F12F5B">
          <w:rPr>
            <w:rFonts w:asciiTheme="minorHAnsi" w:eastAsiaTheme="minorEastAsia" w:hAnsiTheme="minorHAnsi"/>
            <w:b w:val="0"/>
            <w:noProof/>
            <w:lang w:val="sv-SE" w:eastAsia="sv-SE"/>
          </w:rPr>
          <w:tab/>
        </w:r>
        <w:r w:rsidR="00F12F5B" w:rsidRPr="0012403F">
          <w:rPr>
            <w:rStyle w:val="Hyperlink"/>
            <w:rFonts w:cs="Arial"/>
            <w:noProof/>
            <w:lang w:eastAsia="en-US"/>
          </w:rPr>
          <w:t>For flexible starting PRB for PUSCH resource allocation, the legacy BL/CE UE frequency hopping is followed.</w:t>
        </w:r>
      </w:hyperlink>
    </w:p>
    <w:p w14:paraId="5992B6E9" w14:textId="315BB2B3" w:rsidR="00C01F33" w:rsidRPr="00CE0424" w:rsidRDefault="006E1C82" w:rsidP="00F12F5B">
      <w:pPr>
        <w:pStyle w:val="BodyText"/>
      </w:pPr>
      <w:r>
        <w:rPr>
          <w:b/>
          <w:bCs/>
        </w:rPr>
        <w:fldChar w:fldCharType="end"/>
      </w:r>
      <w:r w:rsidR="00F50769">
        <w:rPr>
          <w:b/>
          <w:bCs/>
        </w:rPr>
        <w:t xml:space="preserve"> </w:t>
      </w:r>
    </w:p>
    <w:p w14:paraId="6C7FE4CE" w14:textId="77777777" w:rsidR="00F507D1" w:rsidRPr="00CE0424" w:rsidRDefault="00F507D1" w:rsidP="00CE0424">
      <w:pPr>
        <w:pStyle w:val="Heading1"/>
      </w:pPr>
      <w:bookmarkStart w:id="62" w:name="_In-sequence_SDU_delivery"/>
      <w:bookmarkEnd w:id="62"/>
      <w:r w:rsidRPr="00CE0424">
        <w:t>References</w:t>
      </w:r>
    </w:p>
    <w:bookmarkStart w:id="63" w:name="_Ref521600909"/>
    <w:bookmarkStart w:id="64" w:name="_Ref174151459"/>
    <w:bookmarkStart w:id="65" w:name="_Ref189809556"/>
    <w:p w14:paraId="01799CB7" w14:textId="01EBB904" w:rsidR="005F3025" w:rsidRPr="00CE0424" w:rsidRDefault="006417DA" w:rsidP="00E910BF">
      <w:pPr>
        <w:pStyle w:val="Reference"/>
      </w:pPr>
      <w:r w:rsidRPr="00B50A13">
        <w:fldChar w:fldCharType="begin"/>
      </w:r>
      <w:r>
        <w:instrText xml:space="preserve"> HYPERLINK "http://www.3gpp.org/ftp/tsg_ran/TSG_RAN/TSGR_78/Docs/RP-172811.zip" </w:instrText>
      </w:r>
      <w:r w:rsidRPr="00B50A13">
        <w:fldChar w:fldCharType="separate"/>
      </w:r>
      <w:r w:rsidRPr="00B50A13">
        <w:t>RP-172811</w:t>
      </w:r>
      <w:r w:rsidRPr="00B50A13">
        <w:fldChar w:fldCharType="end"/>
      </w:r>
      <w:r w:rsidR="005F3025" w:rsidRPr="00CE0424">
        <w:t xml:space="preserve">, </w:t>
      </w:r>
      <w:r w:rsidR="00E910BF">
        <w:t>Even further enhanced MTC for LTE</w:t>
      </w:r>
      <w:r w:rsidR="005F3025" w:rsidRPr="00CE0424">
        <w:t xml:space="preserve">, </w:t>
      </w:r>
      <w:r w:rsidR="00E910BF" w:rsidRPr="00E910BF">
        <w:t>RAN Meeting #77</w:t>
      </w:r>
      <w:r w:rsidR="005F3025" w:rsidRPr="00CE0424">
        <w:t xml:space="preserve">, </w:t>
      </w:r>
      <w:r w:rsidR="00E910BF" w:rsidRPr="00E910BF">
        <w:t>Lisbon, Portugal, Dec. 18-21, 2017</w:t>
      </w:r>
      <w:bookmarkEnd w:id="63"/>
    </w:p>
    <w:p w14:paraId="317DBEEB" w14:textId="15A2E17D" w:rsidR="005F3025" w:rsidRDefault="007F7140" w:rsidP="00311702">
      <w:pPr>
        <w:pStyle w:val="Reference"/>
      </w:pPr>
      <w:bookmarkStart w:id="66" w:name="_Ref521662296"/>
      <w:r>
        <w:t>TS 36.211</w:t>
      </w:r>
      <w:r w:rsidR="005F3025" w:rsidRPr="00CE0424">
        <w:t xml:space="preserve">, </w:t>
      </w:r>
      <w:r w:rsidRPr="00B50A13">
        <w:t xml:space="preserve">Physical </w:t>
      </w:r>
      <w:proofErr w:type="gramStart"/>
      <w:r w:rsidRPr="00B50A13">
        <w:t>channels</w:t>
      </w:r>
      <w:proofErr w:type="gramEnd"/>
      <w:r w:rsidRPr="00B50A13">
        <w:t xml:space="preserve"> and modulation</w:t>
      </w:r>
      <w:r w:rsidR="00B50A13">
        <w:t xml:space="preserve">, </w:t>
      </w:r>
      <w:r w:rsidR="00F047F7">
        <w:t>V</w:t>
      </w:r>
      <w:r w:rsidR="00B50A13">
        <w:t>15.2.0</w:t>
      </w:r>
      <w:bookmarkEnd w:id="66"/>
    </w:p>
    <w:p w14:paraId="336EC2D1" w14:textId="659B65F2" w:rsidR="00B50A13" w:rsidRDefault="00B50A13" w:rsidP="00B50A13">
      <w:pPr>
        <w:pStyle w:val="Reference"/>
      </w:pPr>
      <w:bookmarkStart w:id="67" w:name="_Ref521664644"/>
      <w:r>
        <w:t xml:space="preserve">TS 36.212, </w:t>
      </w:r>
      <w:r w:rsidRPr="00B50A13">
        <w:t>Multiplexing and channel coding</w:t>
      </w:r>
      <w:r>
        <w:t xml:space="preserve">, </w:t>
      </w:r>
      <w:r w:rsidR="00F047F7">
        <w:t>V</w:t>
      </w:r>
      <w:r>
        <w:t>15.2.1</w:t>
      </w:r>
      <w:bookmarkEnd w:id="67"/>
    </w:p>
    <w:p w14:paraId="0930EDC0" w14:textId="7AC15308" w:rsidR="00B50A13" w:rsidRDefault="00B50A13" w:rsidP="00B50A13">
      <w:pPr>
        <w:pStyle w:val="Reference"/>
      </w:pPr>
      <w:bookmarkStart w:id="68" w:name="_Ref521662128"/>
      <w:r>
        <w:t xml:space="preserve">TS 36.213, </w:t>
      </w:r>
      <w:r w:rsidRPr="00B50A13">
        <w:t>Physical layer procedures</w:t>
      </w:r>
      <w:r>
        <w:t xml:space="preserve">, </w:t>
      </w:r>
      <w:r w:rsidR="00F047F7">
        <w:t>V</w:t>
      </w:r>
      <w:r>
        <w:t>15.2.0</w:t>
      </w:r>
      <w:bookmarkEnd w:id="68"/>
    </w:p>
    <w:p w14:paraId="68B2724E" w14:textId="7F3D013B" w:rsidR="00A705FB" w:rsidRPr="00CE0424" w:rsidRDefault="00A705FB" w:rsidP="00A705FB">
      <w:pPr>
        <w:pStyle w:val="Reference"/>
      </w:pPr>
      <w:bookmarkStart w:id="69" w:name="_Ref521675231"/>
      <w:r w:rsidRPr="00A705FB">
        <w:rPr>
          <w:lang w:eastAsia="x-none"/>
        </w:rPr>
        <w:t>R1-1805853</w:t>
      </w:r>
      <w:r>
        <w:t xml:space="preserve">, </w:t>
      </w:r>
      <w:r w:rsidRPr="00A705FB">
        <w:t>Flexible PDSCH/PUSCH starting PRB for MTC</w:t>
      </w:r>
      <w:r>
        <w:t xml:space="preserve">, Ericsson, RAN1#93, </w:t>
      </w:r>
      <w:r w:rsidRPr="00A705FB">
        <w:t>Busan, Korea 21th Feb – 25th May 2018</w:t>
      </w:r>
      <w:bookmarkEnd w:id="69"/>
    </w:p>
    <w:bookmarkEnd w:id="64"/>
    <w:bookmarkEnd w:id="65"/>
    <w:p w14:paraId="40121E2E"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D44D4" w14:textId="77777777" w:rsidR="00A405A1" w:rsidRDefault="00A405A1">
      <w:r>
        <w:separator/>
      </w:r>
    </w:p>
  </w:endnote>
  <w:endnote w:type="continuationSeparator" w:id="0">
    <w:p w14:paraId="01D03006" w14:textId="77777777" w:rsidR="00A405A1" w:rsidRDefault="00A40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E00200" w14:textId="77777777" w:rsidR="00A405A1" w:rsidRDefault="00A405A1">
      <w:r>
        <w:separator/>
      </w:r>
    </w:p>
  </w:footnote>
  <w:footnote w:type="continuationSeparator" w:id="0">
    <w:p w14:paraId="3836E3AD" w14:textId="77777777" w:rsidR="00A405A1" w:rsidRDefault="00A40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D81B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7025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272459D"/>
    <w:multiLevelType w:val="hybridMultilevel"/>
    <w:tmpl w:val="A09AC0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3816347"/>
    <w:multiLevelType w:val="hybridMultilevel"/>
    <w:tmpl w:val="DD5812FA"/>
    <w:lvl w:ilvl="0" w:tplc="041D000F">
      <w:start w:val="1"/>
      <w:numFmt w:val="decimal"/>
      <w:lvlText w:val="%1."/>
      <w:lvlJc w:val="left"/>
      <w:pPr>
        <w:ind w:left="775" w:hanging="360"/>
      </w:pPr>
    </w:lvl>
    <w:lvl w:ilvl="1" w:tplc="041D0019" w:tentative="1">
      <w:start w:val="1"/>
      <w:numFmt w:val="lowerLetter"/>
      <w:lvlText w:val="%2."/>
      <w:lvlJc w:val="left"/>
      <w:pPr>
        <w:ind w:left="1495" w:hanging="360"/>
      </w:pPr>
    </w:lvl>
    <w:lvl w:ilvl="2" w:tplc="041D001B" w:tentative="1">
      <w:start w:val="1"/>
      <w:numFmt w:val="lowerRoman"/>
      <w:lvlText w:val="%3."/>
      <w:lvlJc w:val="right"/>
      <w:pPr>
        <w:ind w:left="2215" w:hanging="180"/>
      </w:pPr>
    </w:lvl>
    <w:lvl w:ilvl="3" w:tplc="041D000F" w:tentative="1">
      <w:start w:val="1"/>
      <w:numFmt w:val="decimal"/>
      <w:lvlText w:val="%4."/>
      <w:lvlJc w:val="left"/>
      <w:pPr>
        <w:ind w:left="2935" w:hanging="360"/>
      </w:pPr>
    </w:lvl>
    <w:lvl w:ilvl="4" w:tplc="041D0019" w:tentative="1">
      <w:start w:val="1"/>
      <w:numFmt w:val="lowerLetter"/>
      <w:lvlText w:val="%5."/>
      <w:lvlJc w:val="left"/>
      <w:pPr>
        <w:ind w:left="3655" w:hanging="360"/>
      </w:pPr>
    </w:lvl>
    <w:lvl w:ilvl="5" w:tplc="041D001B" w:tentative="1">
      <w:start w:val="1"/>
      <w:numFmt w:val="lowerRoman"/>
      <w:lvlText w:val="%6."/>
      <w:lvlJc w:val="right"/>
      <w:pPr>
        <w:ind w:left="4375" w:hanging="180"/>
      </w:pPr>
    </w:lvl>
    <w:lvl w:ilvl="6" w:tplc="041D000F" w:tentative="1">
      <w:start w:val="1"/>
      <w:numFmt w:val="decimal"/>
      <w:lvlText w:val="%7."/>
      <w:lvlJc w:val="left"/>
      <w:pPr>
        <w:ind w:left="5095" w:hanging="360"/>
      </w:pPr>
    </w:lvl>
    <w:lvl w:ilvl="7" w:tplc="041D0019" w:tentative="1">
      <w:start w:val="1"/>
      <w:numFmt w:val="lowerLetter"/>
      <w:lvlText w:val="%8."/>
      <w:lvlJc w:val="left"/>
      <w:pPr>
        <w:ind w:left="5815" w:hanging="360"/>
      </w:pPr>
    </w:lvl>
    <w:lvl w:ilvl="8" w:tplc="041D001B" w:tentative="1">
      <w:start w:val="1"/>
      <w:numFmt w:val="lowerRoman"/>
      <w:lvlText w:val="%9."/>
      <w:lvlJc w:val="right"/>
      <w:pPr>
        <w:ind w:left="6535"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7"/>
  </w:num>
  <w:num w:numId="19">
    <w:abstractNumId w:val="4"/>
  </w:num>
  <w:num w:numId="20">
    <w:abstractNumId w:val="24"/>
  </w:num>
  <w:num w:numId="21">
    <w:abstractNumId w:val="11"/>
  </w:num>
  <w:num w:numId="22">
    <w:abstractNumId w:val="22"/>
  </w:num>
  <w:num w:numId="23">
    <w:abstractNumId w:val="6"/>
  </w:num>
  <w:num w:numId="24">
    <w:abstractNumId w:val="17"/>
  </w:num>
  <w:num w:numId="25">
    <w:abstractNumId w:val="23"/>
  </w:num>
  <w:num w:numId="26">
    <w:abstractNumId w:val="15"/>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8"/>
  </w:num>
  <w:num w:numId="31">
    <w:abstractNumId w:val="18"/>
  </w:num>
  <w:num w:numId="32">
    <w:abstractNumId w:val="12"/>
  </w:num>
  <w:num w:numId="33">
    <w:abstractNumId w:val="12"/>
  </w:num>
  <w:num w:numId="34">
    <w:abstractNumId w:val="12"/>
  </w:num>
  <w:num w:numId="3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3CD"/>
    <w:rsid w:val="000006E1"/>
    <w:rsid w:val="00002A37"/>
    <w:rsid w:val="0000564C"/>
    <w:rsid w:val="00006446"/>
    <w:rsid w:val="00006896"/>
    <w:rsid w:val="00007CDC"/>
    <w:rsid w:val="00011B28"/>
    <w:rsid w:val="00014B59"/>
    <w:rsid w:val="00015D15"/>
    <w:rsid w:val="00016FB9"/>
    <w:rsid w:val="00020906"/>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955"/>
    <w:rsid w:val="0009510F"/>
    <w:rsid w:val="000967BF"/>
    <w:rsid w:val="000A1B7B"/>
    <w:rsid w:val="000A56F2"/>
    <w:rsid w:val="000B2719"/>
    <w:rsid w:val="000B3A8F"/>
    <w:rsid w:val="000B4AB9"/>
    <w:rsid w:val="000B58C3"/>
    <w:rsid w:val="000B61E9"/>
    <w:rsid w:val="000C165A"/>
    <w:rsid w:val="000C2E19"/>
    <w:rsid w:val="000D0D07"/>
    <w:rsid w:val="000D4797"/>
    <w:rsid w:val="000E0527"/>
    <w:rsid w:val="000E1E92"/>
    <w:rsid w:val="000E6A18"/>
    <w:rsid w:val="000F06D6"/>
    <w:rsid w:val="000F0EB1"/>
    <w:rsid w:val="000F1106"/>
    <w:rsid w:val="000F3BE9"/>
    <w:rsid w:val="000F3F6C"/>
    <w:rsid w:val="000F4C3F"/>
    <w:rsid w:val="000F6DF3"/>
    <w:rsid w:val="001005FF"/>
    <w:rsid w:val="001062FB"/>
    <w:rsid w:val="001063E6"/>
    <w:rsid w:val="001128F1"/>
    <w:rsid w:val="00113CF4"/>
    <w:rsid w:val="001153EA"/>
    <w:rsid w:val="00115643"/>
    <w:rsid w:val="00116765"/>
    <w:rsid w:val="001219F5"/>
    <w:rsid w:val="00121A20"/>
    <w:rsid w:val="0012377F"/>
    <w:rsid w:val="00124314"/>
    <w:rsid w:val="00126B4A"/>
    <w:rsid w:val="00132FD0"/>
    <w:rsid w:val="001344C0"/>
    <w:rsid w:val="001346FA"/>
    <w:rsid w:val="00135252"/>
    <w:rsid w:val="00136A5F"/>
    <w:rsid w:val="00137AB5"/>
    <w:rsid w:val="00137F0B"/>
    <w:rsid w:val="00151E23"/>
    <w:rsid w:val="001526E0"/>
    <w:rsid w:val="001551B5"/>
    <w:rsid w:val="001610A4"/>
    <w:rsid w:val="001659C1"/>
    <w:rsid w:val="00173A8E"/>
    <w:rsid w:val="0017502C"/>
    <w:rsid w:val="0018143F"/>
    <w:rsid w:val="00181FF8"/>
    <w:rsid w:val="001845C5"/>
    <w:rsid w:val="00190AC1"/>
    <w:rsid w:val="0019341A"/>
    <w:rsid w:val="00197DF9"/>
    <w:rsid w:val="001A1987"/>
    <w:rsid w:val="001A2564"/>
    <w:rsid w:val="001A6173"/>
    <w:rsid w:val="001A6CBA"/>
    <w:rsid w:val="001B0D97"/>
    <w:rsid w:val="001B5A5D"/>
    <w:rsid w:val="001B78DD"/>
    <w:rsid w:val="001C1CE5"/>
    <w:rsid w:val="001C3D2A"/>
    <w:rsid w:val="001C4D56"/>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19D"/>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51D6"/>
    <w:rsid w:val="002805F5"/>
    <w:rsid w:val="00280751"/>
    <w:rsid w:val="0028280A"/>
    <w:rsid w:val="00283617"/>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0C3C"/>
    <w:rsid w:val="00322C9F"/>
    <w:rsid w:val="00324D23"/>
    <w:rsid w:val="00331751"/>
    <w:rsid w:val="00334579"/>
    <w:rsid w:val="00335858"/>
    <w:rsid w:val="00336BDA"/>
    <w:rsid w:val="003428C0"/>
    <w:rsid w:val="00342BD7"/>
    <w:rsid w:val="00346DB5"/>
    <w:rsid w:val="003477B1"/>
    <w:rsid w:val="00357380"/>
    <w:rsid w:val="003602D9"/>
    <w:rsid w:val="003604CE"/>
    <w:rsid w:val="0036434E"/>
    <w:rsid w:val="00365BF9"/>
    <w:rsid w:val="00370E47"/>
    <w:rsid w:val="003742AC"/>
    <w:rsid w:val="00377CE1"/>
    <w:rsid w:val="00385BF0"/>
    <w:rsid w:val="0038639A"/>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0F39"/>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62A"/>
    <w:rsid w:val="00534B59"/>
    <w:rsid w:val="00536759"/>
    <w:rsid w:val="00537C62"/>
    <w:rsid w:val="00546970"/>
    <w:rsid w:val="00554E19"/>
    <w:rsid w:val="0056121F"/>
    <w:rsid w:val="00571599"/>
    <w:rsid w:val="00572505"/>
    <w:rsid w:val="00582809"/>
    <w:rsid w:val="0058798C"/>
    <w:rsid w:val="005900FA"/>
    <w:rsid w:val="005935A4"/>
    <w:rsid w:val="005948C2"/>
    <w:rsid w:val="0059591D"/>
    <w:rsid w:val="00595DCA"/>
    <w:rsid w:val="0059779B"/>
    <w:rsid w:val="005A209A"/>
    <w:rsid w:val="005A662D"/>
    <w:rsid w:val="005B1409"/>
    <w:rsid w:val="005B16A9"/>
    <w:rsid w:val="005B35D7"/>
    <w:rsid w:val="005B392A"/>
    <w:rsid w:val="005B3AA3"/>
    <w:rsid w:val="005B6F83"/>
    <w:rsid w:val="005C3EDF"/>
    <w:rsid w:val="005C74FB"/>
    <w:rsid w:val="005D1602"/>
    <w:rsid w:val="005E385F"/>
    <w:rsid w:val="005E5B81"/>
    <w:rsid w:val="005F2CB1"/>
    <w:rsid w:val="005F3025"/>
    <w:rsid w:val="005F618C"/>
    <w:rsid w:val="005F70BD"/>
    <w:rsid w:val="0060283C"/>
    <w:rsid w:val="00604F14"/>
    <w:rsid w:val="00611B83"/>
    <w:rsid w:val="00611E49"/>
    <w:rsid w:val="00613257"/>
    <w:rsid w:val="00620A71"/>
    <w:rsid w:val="00620D80"/>
    <w:rsid w:val="006234A6"/>
    <w:rsid w:val="00630001"/>
    <w:rsid w:val="006311B3"/>
    <w:rsid w:val="0063284C"/>
    <w:rsid w:val="00636398"/>
    <w:rsid w:val="006368D3"/>
    <w:rsid w:val="006377EC"/>
    <w:rsid w:val="0064151F"/>
    <w:rsid w:val="00641533"/>
    <w:rsid w:val="006417DA"/>
    <w:rsid w:val="0064208D"/>
    <w:rsid w:val="00643475"/>
    <w:rsid w:val="0064396A"/>
    <w:rsid w:val="0064624E"/>
    <w:rsid w:val="00650AB9"/>
    <w:rsid w:val="00650EC9"/>
    <w:rsid w:val="00655733"/>
    <w:rsid w:val="00655ACD"/>
    <w:rsid w:val="00655E3C"/>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861"/>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53C"/>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6B85"/>
    <w:rsid w:val="00707072"/>
    <w:rsid w:val="00707D61"/>
    <w:rsid w:val="0071144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B0C"/>
    <w:rsid w:val="00787D76"/>
    <w:rsid w:val="007925EA"/>
    <w:rsid w:val="00793CD8"/>
    <w:rsid w:val="00795C92"/>
    <w:rsid w:val="00796231"/>
    <w:rsid w:val="007A1CB3"/>
    <w:rsid w:val="007A306F"/>
    <w:rsid w:val="007A43A6"/>
    <w:rsid w:val="007A58A6"/>
    <w:rsid w:val="007A63CD"/>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7140"/>
    <w:rsid w:val="00803FAE"/>
    <w:rsid w:val="0080605F"/>
    <w:rsid w:val="00807786"/>
    <w:rsid w:val="00811FCB"/>
    <w:rsid w:val="008158D6"/>
    <w:rsid w:val="00817196"/>
    <w:rsid w:val="008235DB"/>
    <w:rsid w:val="00824AB4"/>
    <w:rsid w:val="00825C42"/>
    <w:rsid w:val="00825D25"/>
    <w:rsid w:val="00826E79"/>
    <w:rsid w:val="00827D6F"/>
    <w:rsid w:val="008376AC"/>
    <w:rsid w:val="008444E8"/>
    <w:rsid w:val="00844E80"/>
    <w:rsid w:val="00846FE7"/>
    <w:rsid w:val="00856911"/>
    <w:rsid w:val="00860101"/>
    <w:rsid w:val="008677FD"/>
    <w:rsid w:val="008706D4"/>
    <w:rsid w:val="00870F8A"/>
    <w:rsid w:val="008719A4"/>
    <w:rsid w:val="00871D23"/>
    <w:rsid w:val="00874312"/>
    <w:rsid w:val="0087437C"/>
    <w:rsid w:val="00875CD7"/>
    <w:rsid w:val="00876B4D"/>
    <w:rsid w:val="00877F18"/>
    <w:rsid w:val="00881151"/>
    <w:rsid w:val="008816E5"/>
    <w:rsid w:val="008941E3"/>
    <w:rsid w:val="00894A88"/>
    <w:rsid w:val="00895386"/>
    <w:rsid w:val="008A21FF"/>
    <w:rsid w:val="008A2CE2"/>
    <w:rsid w:val="008A30AC"/>
    <w:rsid w:val="008A3F4B"/>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21E"/>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643"/>
    <w:rsid w:val="0095681E"/>
    <w:rsid w:val="009572D4"/>
    <w:rsid w:val="00957CBE"/>
    <w:rsid w:val="00961921"/>
    <w:rsid w:val="0096430A"/>
    <w:rsid w:val="00965470"/>
    <w:rsid w:val="0096554B"/>
    <w:rsid w:val="0096584A"/>
    <w:rsid w:val="00971F08"/>
    <w:rsid w:val="0097603D"/>
    <w:rsid w:val="00976949"/>
    <w:rsid w:val="00980477"/>
    <w:rsid w:val="00985253"/>
    <w:rsid w:val="009853B3"/>
    <w:rsid w:val="00990630"/>
    <w:rsid w:val="00991761"/>
    <w:rsid w:val="00994DCA"/>
    <w:rsid w:val="009960EC"/>
    <w:rsid w:val="0099639D"/>
    <w:rsid w:val="009970DD"/>
    <w:rsid w:val="009A0FBA"/>
    <w:rsid w:val="009A1601"/>
    <w:rsid w:val="009A3BB6"/>
    <w:rsid w:val="009A462D"/>
    <w:rsid w:val="009A5CBA"/>
    <w:rsid w:val="009A629D"/>
    <w:rsid w:val="009B1F30"/>
    <w:rsid w:val="009B3AC2"/>
    <w:rsid w:val="009B4DF4"/>
    <w:rsid w:val="009B564E"/>
    <w:rsid w:val="009B7E87"/>
    <w:rsid w:val="009C0169"/>
    <w:rsid w:val="009C403E"/>
    <w:rsid w:val="009D12B4"/>
    <w:rsid w:val="009D4FF0"/>
    <w:rsid w:val="009D703C"/>
    <w:rsid w:val="009D718F"/>
    <w:rsid w:val="009E068F"/>
    <w:rsid w:val="009E1216"/>
    <w:rsid w:val="009E14E0"/>
    <w:rsid w:val="009E35DB"/>
    <w:rsid w:val="009E47A3"/>
    <w:rsid w:val="009F08F3"/>
    <w:rsid w:val="009F344F"/>
    <w:rsid w:val="00A031D8"/>
    <w:rsid w:val="00A048A8"/>
    <w:rsid w:val="00A04F49"/>
    <w:rsid w:val="00A13E54"/>
    <w:rsid w:val="00A14A00"/>
    <w:rsid w:val="00A17F63"/>
    <w:rsid w:val="00A2193B"/>
    <w:rsid w:val="00A2351A"/>
    <w:rsid w:val="00A264A9"/>
    <w:rsid w:val="00A26DCF"/>
    <w:rsid w:val="00A27785"/>
    <w:rsid w:val="00A30187"/>
    <w:rsid w:val="00A32DEF"/>
    <w:rsid w:val="00A3448A"/>
    <w:rsid w:val="00A36297"/>
    <w:rsid w:val="00A405A1"/>
    <w:rsid w:val="00A41E2B"/>
    <w:rsid w:val="00A45B74"/>
    <w:rsid w:val="00A52E1D"/>
    <w:rsid w:val="00A53266"/>
    <w:rsid w:val="00A61499"/>
    <w:rsid w:val="00A62A77"/>
    <w:rsid w:val="00A63483"/>
    <w:rsid w:val="00A657D7"/>
    <w:rsid w:val="00A660AC"/>
    <w:rsid w:val="00A67E6C"/>
    <w:rsid w:val="00A705FB"/>
    <w:rsid w:val="00A71B99"/>
    <w:rsid w:val="00A739D0"/>
    <w:rsid w:val="00A761D4"/>
    <w:rsid w:val="00A77EC4"/>
    <w:rsid w:val="00A83714"/>
    <w:rsid w:val="00A92879"/>
    <w:rsid w:val="00A9442A"/>
    <w:rsid w:val="00AA016F"/>
    <w:rsid w:val="00AA1ED6"/>
    <w:rsid w:val="00AA51D6"/>
    <w:rsid w:val="00AB0BC8"/>
    <w:rsid w:val="00AB11CA"/>
    <w:rsid w:val="00AB14D9"/>
    <w:rsid w:val="00AB4AB8"/>
    <w:rsid w:val="00AB5A11"/>
    <w:rsid w:val="00AB655E"/>
    <w:rsid w:val="00AC007F"/>
    <w:rsid w:val="00AC2E6A"/>
    <w:rsid w:val="00AC2ECD"/>
    <w:rsid w:val="00AC3119"/>
    <w:rsid w:val="00AC3AA8"/>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4C2"/>
    <w:rsid w:val="00B2763F"/>
    <w:rsid w:val="00B27AAC"/>
    <w:rsid w:val="00B30929"/>
    <w:rsid w:val="00B372AA"/>
    <w:rsid w:val="00B40445"/>
    <w:rsid w:val="00B409E0"/>
    <w:rsid w:val="00B41888"/>
    <w:rsid w:val="00B45A52"/>
    <w:rsid w:val="00B46175"/>
    <w:rsid w:val="00B50A13"/>
    <w:rsid w:val="00B548B7"/>
    <w:rsid w:val="00B664C7"/>
    <w:rsid w:val="00B728B4"/>
    <w:rsid w:val="00B739F6"/>
    <w:rsid w:val="00B81A6C"/>
    <w:rsid w:val="00B85DE5"/>
    <w:rsid w:val="00B90F73"/>
    <w:rsid w:val="00B93B59"/>
    <w:rsid w:val="00B9406A"/>
    <w:rsid w:val="00BA2280"/>
    <w:rsid w:val="00BA2A08"/>
    <w:rsid w:val="00BA56D2"/>
    <w:rsid w:val="00BA76E0"/>
    <w:rsid w:val="00BB2A25"/>
    <w:rsid w:val="00BB51E9"/>
    <w:rsid w:val="00BB5832"/>
    <w:rsid w:val="00BB7C7D"/>
    <w:rsid w:val="00BC0FDC"/>
    <w:rsid w:val="00BC3053"/>
    <w:rsid w:val="00BC4D2E"/>
    <w:rsid w:val="00BC7981"/>
    <w:rsid w:val="00BD3102"/>
    <w:rsid w:val="00BD48AC"/>
    <w:rsid w:val="00BD5F1A"/>
    <w:rsid w:val="00BE0819"/>
    <w:rsid w:val="00BE1234"/>
    <w:rsid w:val="00BE2FA6"/>
    <w:rsid w:val="00BE333F"/>
    <w:rsid w:val="00BE7406"/>
    <w:rsid w:val="00BE7603"/>
    <w:rsid w:val="00BF3279"/>
    <w:rsid w:val="00BF7343"/>
    <w:rsid w:val="00BF74C7"/>
    <w:rsid w:val="00C015F1"/>
    <w:rsid w:val="00C01F33"/>
    <w:rsid w:val="00C02CC6"/>
    <w:rsid w:val="00C040F7"/>
    <w:rsid w:val="00C044AB"/>
    <w:rsid w:val="00C05706"/>
    <w:rsid w:val="00C07377"/>
    <w:rsid w:val="00C10478"/>
    <w:rsid w:val="00C12107"/>
    <w:rsid w:val="00C14D4B"/>
    <w:rsid w:val="00C154BB"/>
    <w:rsid w:val="00C161E6"/>
    <w:rsid w:val="00C279B5"/>
    <w:rsid w:val="00C27C45"/>
    <w:rsid w:val="00C337CA"/>
    <w:rsid w:val="00C3719D"/>
    <w:rsid w:val="00C37CB2"/>
    <w:rsid w:val="00C4311D"/>
    <w:rsid w:val="00C473A5"/>
    <w:rsid w:val="00C54995"/>
    <w:rsid w:val="00C54D41"/>
    <w:rsid w:val="00C558E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32BF"/>
    <w:rsid w:val="00CB7170"/>
    <w:rsid w:val="00CC040E"/>
    <w:rsid w:val="00CC111F"/>
    <w:rsid w:val="00CC2011"/>
    <w:rsid w:val="00CC3BAC"/>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6C5E"/>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6205"/>
    <w:rsid w:val="00DE5608"/>
    <w:rsid w:val="00DE58D0"/>
    <w:rsid w:val="00DE654F"/>
    <w:rsid w:val="00DF0B6E"/>
    <w:rsid w:val="00DF15E0"/>
    <w:rsid w:val="00DF37A0"/>
    <w:rsid w:val="00E110E7"/>
    <w:rsid w:val="00E11B20"/>
    <w:rsid w:val="00E17FA2"/>
    <w:rsid w:val="00E22330"/>
    <w:rsid w:val="00E30B5A"/>
    <w:rsid w:val="00E310FD"/>
    <w:rsid w:val="00E3123D"/>
    <w:rsid w:val="00E31461"/>
    <w:rsid w:val="00E31D43"/>
    <w:rsid w:val="00E32608"/>
    <w:rsid w:val="00E34188"/>
    <w:rsid w:val="00E34B6E"/>
    <w:rsid w:val="00E35559"/>
    <w:rsid w:val="00E3723A"/>
    <w:rsid w:val="00E37860"/>
    <w:rsid w:val="00E434BB"/>
    <w:rsid w:val="00E446F1"/>
    <w:rsid w:val="00E46886"/>
    <w:rsid w:val="00E47AEF"/>
    <w:rsid w:val="00E527FA"/>
    <w:rsid w:val="00E53B75"/>
    <w:rsid w:val="00E54E3B"/>
    <w:rsid w:val="00E57565"/>
    <w:rsid w:val="00E637D7"/>
    <w:rsid w:val="00E63838"/>
    <w:rsid w:val="00E64434"/>
    <w:rsid w:val="00E6669D"/>
    <w:rsid w:val="00E67C51"/>
    <w:rsid w:val="00E72EFC"/>
    <w:rsid w:val="00E758EC"/>
    <w:rsid w:val="00E8234C"/>
    <w:rsid w:val="00E83AA9"/>
    <w:rsid w:val="00E85928"/>
    <w:rsid w:val="00E87822"/>
    <w:rsid w:val="00E90395"/>
    <w:rsid w:val="00E90E49"/>
    <w:rsid w:val="00E910BF"/>
    <w:rsid w:val="00E917F9"/>
    <w:rsid w:val="00E9291C"/>
    <w:rsid w:val="00E93FFE"/>
    <w:rsid w:val="00E94F8A"/>
    <w:rsid w:val="00EA7A41"/>
    <w:rsid w:val="00EB077B"/>
    <w:rsid w:val="00EB4EA2"/>
    <w:rsid w:val="00EC24D5"/>
    <w:rsid w:val="00EC27C6"/>
    <w:rsid w:val="00EC4207"/>
    <w:rsid w:val="00EC5653"/>
    <w:rsid w:val="00EC71CE"/>
    <w:rsid w:val="00ED1006"/>
    <w:rsid w:val="00EF0676"/>
    <w:rsid w:val="00EF18FE"/>
    <w:rsid w:val="00EF5787"/>
    <w:rsid w:val="00EF60D0"/>
    <w:rsid w:val="00F047F7"/>
    <w:rsid w:val="00F0528D"/>
    <w:rsid w:val="00F06C67"/>
    <w:rsid w:val="00F06DFD"/>
    <w:rsid w:val="00F071D1"/>
    <w:rsid w:val="00F07533"/>
    <w:rsid w:val="00F10629"/>
    <w:rsid w:val="00F115E8"/>
    <w:rsid w:val="00F11EAE"/>
    <w:rsid w:val="00F12F5B"/>
    <w:rsid w:val="00F1458A"/>
    <w:rsid w:val="00F15FA5"/>
    <w:rsid w:val="00F209B7"/>
    <w:rsid w:val="00F2376F"/>
    <w:rsid w:val="00F243D8"/>
    <w:rsid w:val="00F30828"/>
    <w:rsid w:val="00F313D6"/>
    <w:rsid w:val="00F367EF"/>
    <w:rsid w:val="00F40F0C"/>
    <w:rsid w:val="00F4766C"/>
    <w:rsid w:val="00F5060E"/>
    <w:rsid w:val="00F50769"/>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1654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6A5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36A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6A5F"/>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00118">
      <w:bodyDiv w:val="1"/>
      <w:marLeft w:val="0"/>
      <w:marRight w:val="0"/>
      <w:marTop w:val="0"/>
      <w:marBottom w:val="0"/>
      <w:divBdr>
        <w:top w:val="none" w:sz="0" w:space="0" w:color="auto"/>
        <w:left w:val="none" w:sz="0" w:space="0" w:color="auto"/>
        <w:bottom w:val="none" w:sz="0" w:space="0" w:color="auto"/>
        <w:right w:val="none" w:sz="0" w:space="0" w:color="auto"/>
      </w:divBdr>
    </w:div>
    <w:div w:id="131682042">
      <w:bodyDiv w:val="1"/>
      <w:marLeft w:val="0"/>
      <w:marRight w:val="0"/>
      <w:marTop w:val="0"/>
      <w:marBottom w:val="0"/>
      <w:divBdr>
        <w:top w:val="none" w:sz="0" w:space="0" w:color="auto"/>
        <w:left w:val="none" w:sz="0" w:space="0" w:color="auto"/>
        <w:bottom w:val="none" w:sz="0" w:space="0" w:color="auto"/>
        <w:right w:val="none" w:sz="0" w:space="0" w:color="auto"/>
      </w:divBdr>
    </w:div>
    <w:div w:id="392508891">
      <w:bodyDiv w:val="1"/>
      <w:marLeft w:val="0"/>
      <w:marRight w:val="0"/>
      <w:marTop w:val="0"/>
      <w:marBottom w:val="0"/>
      <w:divBdr>
        <w:top w:val="none" w:sz="0" w:space="0" w:color="auto"/>
        <w:left w:val="none" w:sz="0" w:space="0" w:color="auto"/>
        <w:bottom w:val="none" w:sz="0" w:space="0" w:color="auto"/>
        <w:right w:val="none" w:sz="0" w:space="0" w:color="auto"/>
      </w:divBdr>
    </w:div>
    <w:div w:id="416902919">
      <w:bodyDiv w:val="1"/>
      <w:marLeft w:val="0"/>
      <w:marRight w:val="0"/>
      <w:marTop w:val="0"/>
      <w:marBottom w:val="0"/>
      <w:divBdr>
        <w:top w:val="none" w:sz="0" w:space="0" w:color="auto"/>
        <w:left w:val="none" w:sz="0" w:space="0" w:color="auto"/>
        <w:bottom w:val="none" w:sz="0" w:space="0" w:color="auto"/>
        <w:right w:val="none" w:sz="0" w:space="0" w:color="auto"/>
      </w:divBdr>
    </w:div>
    <w:div w:id="651180444">
      <w:bodyDiv w:val="1"/>
      <w:marLeft w:val="0"/>
      <w:marRight w:val="0"/>
      <w:marTop w:val="0"/>
      <w:marBottom w:val="0"/>
      <w:divBdr>
        <w:top w:val="none" w:sz="0" w:space="0" w:color="auto"/>
        <w:left w:val="none" w:sz="0" w:space="0" w:color="auto"/>
        <w:bottom w:val="none" w:sz="0" w:space="0" w:color="auto"/>
        <w:right w:val="none" w:sz="0" w:space="0" w:color="auto"/>
      </w:divBdr>
    </w:div>
    <w:div w:id="680788175">
      <w:bodyDiv w:val="1"/>
      <w:marLeft w:val="0"/>
      <w:marRight w:val="0"/>
      <w:marTop w:val="0"/>
      <w:marBottom w:val="0"/>
      <w:divBdr>
        <w:top w:val="none" w:sz="0" w:space="0" w:color="auto"/>
        <w:left w:val="none" w:sz="0" w:space="0" w:color="auto"/>
        <w:bottom w:val="none" w:sz="0" w:space="0" w:color="auto"/>
        <w:right w:val="none" w:sz="0" w:space="0" w:color="auto"/>
      </w:divBdr>
    </w:div>
    <w:div w:id="746926100">
      <w:bodyDiv w:val="1"/>
      <w:marLeft w:val="0"/>
      <w:marRight w:val="0"/>
      <w:marTop w:val="0"/>
      <w:marBottom w:val="0"/>
      <w:divBdr>
        <w:top w:val="none" w:sz="0" w:space="0" w:color="auto"/>
        <w:left w:val="none" w:sz="0" w:space="0" w:color="auto"/>
        <w:bottom w:val="none" w:sz="0" w:space="0" w:color="auto"/>
        <w:right w:val="none" w:sz="0" w:space="0" w:color="auto"/>
      </w:divBdr>
    </w:div>
    <w:div w:id="885410548">
      <w:bodyDiv w:val="1"/>
      <w:marLeft w:val="0"/>
      <w:marRight w:val="0"/>
      <w:marTop w:val="0"/>
      <w:marBottom w:val="0"/>
      <w:divBdr>
        <w:top w:val="none" w:sz="0" w:space="0" w:color="auto"/>
        <w:left w:val="none" w:sz="0" w:space="0" w:color="auto"/>
        <w:bottom w:val="none" w:sz="0" w:space="0" w:color="auto"/>
        <w:right w:val="none" w:sz="0" w:space="0" w:color="auto"/>
      </w:divBdr>
    </w:div>
    <w:div w:id="1303653229">
      <w:bodyDiv w:val="1"/>
      <w:marLeft w:val="0"/>
      <w:marRight w:val="0"/>
      <w:marTop w:val="0"/>
      <w:marBottom w:val="0"/>
      <w:divBdr>
        <w:top w:val="none" w:sz="0" w:space="0" w:color="auto"/>
        <w:left w:val="none" w:sz="0" w:space="0" w:color="auto"/>
        <w:bottom w:val="none" w:sz="0" w:space="0" w:color="auto"/>
        <w:right w:val="none" w:sz="0" w:space="0" w:color="auto"/>
      </w:divBdr>
    </w:div>
    <w:div w:id="1673681331">
      <w:bodyDiv w:val="1"/>
      <w:marLeft w:val="0"/>
      <w:marRight w:val="0"/>
      <w:marTop w:val="0"/>
      <w:marBottom w:val="0"/>
      <w:divBdr>
        <w:top w:val="none" w:sz="0" w:space="0" w:color="auto"/>
        <w:left w:val="none" w:sz="0" w:space="0" w:color="auto"/>
        <w:bottom w:val="none" w:sz="0" w:space="0" w:color="auto"/>
        <w:right w:val="none" w:sz="0" w:space="0" w:color="auto"/>
      </w:divBdr>
    </w:div>
    <w:div w:id="1774200523">
      <w:bodyDiv w:val="1"/>
      <w:marLeft w:val="0"/>
      <w:marRight w:val="0"/>
      <w:marTop w:val="0"/>
      <w:marBottom w:val="0"/>
      <w:divBdr>
        <w:top w:val="none" w:sz="0" w:space="0" w:color="auto"/>
        <w:left w:val="none" w:sz="0" w:space="0" w:color="auto"/>
        <w:bottom w:val="none" w:sz="0" w:space="0" w:color="auto"/>
        <w:right w:val="none" w:sz="0" w:space="0" w:color="auto"/>
      </w:divBdr>
    </w:div>
    <w:div w:id="1817523791">
      <w:bodyDiv w:val="1"/>
      <w:marLeft w:val="0"/>
      <w:marRight w:val="0"/>
      <w:marTop w:val="0"/>
      <w:marBottom w:val="0"/>
      <w:divBdr>
        <w:top w:val="none" w:sz="0" w:space="0" w:color="auto"/>
        <w:left w:val="none" w:sz="0" w:space="0" w:color="auto"/>
        <w:bottom w:val="none" w:sz="0" w:space="0" w:color="auto"/>
        <w:right w:val="none" w:sz="0" w:space="0" w:color="auto"/>
      </w:divBdr>
    </w:div>
    <w:div w:id="1911770330">
      <w:bodyDiv w:val="1"/>
      <w:marLeft w:val="0"/>
      <w:marRight w:val="0"/>
      <w:marTop w:val="0"/>
      <w:marBottom w:val="0"/>
      <w:divBdr>
        <w:top w:val="none" w:sz="0" w:space="0" w:color="auto"/>
        <w:left w:val="none" w:sz="0" w:space="0" w:color="auto"/>
        <w:bottom w:val="none" w:sz="0" w:space="0" w:color="auto"/>
        <w:right w:val="none" w:sz="0" w:space="0" w:color="auto"/>
      </w:divBdr>
    </w:div>
    <w:div w:id="211735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5BCE0-E2BA-40CD-A998-C58D92171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2612</Words>
  <Characters>13844</Characters>
  <Application>Microsoft Office Word</Application>
  <DocSecurity>0</DocSecurity>
  <Lines>115</Lines>
  <Paragraphs>32</Paragraphs>
  <ScaleCrop>false</ScaleCrop>
  <Company/>
  <LinksUpToDate>false</LinksUpToDate>
  <CharactersWithSpaces>16424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2018-08-10T15:00:00Z</dcterms:created>
  <dcterms:modified xsi:type="dcterms:W3CDTF">2018-08-10T21:08:00Z</dcterms:modified>
  <cp:category/>
</cp:coreProperties>
</file>